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EVELIN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Gergely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Bakos József</w:t>
            </w:r>
          </w:p>
          <w:p w:rsidR="00DB4822" w:rsidRDefault="00DB4822" w:rsidP="00E11062">
            <w:pPr>
              <w:pStyle w:val="Konzulensek"/>
            </w:pPr>
            <w:r w:rsidRPr="00DB4822">
              <w:t>Professor Emeritus,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Biológiailag aktív vegyületek királis építőelemeinek szintézise aszimmetrikus allilezéssel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aszimmetrikus allil-helyzetű szubsztitúció; palládium-katalizált reakció; foszfit ligandumok; ligandum-kombinációs módszer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aszimmetrikus szintézis a zöld kémia fontos területe, hiszen a finomkémiai eljárásokban minden sikeres szelektív lépéssel felezhető a szintézisben felhasznált anyag mennyisége. Az aszimmetrikus katalitikus reakciók további előnye, hogy a királis információt kis mennyiségű katalizátor képes átadni nagy mennyiségű terméknek. A királis katalizátor lehet például optikailag aktív ligandumot tartalmazó átmenetifém-komplex.</w:t>
      </w:r>
      <w:r>
        <w:rPr>
          <w:color w:val="000000"/>
          <w:sz w:val="24"/>
          <w:szCs w:val="24"/>
        </w:rPr>
        <w:br/>
        <w:t xml:space="preserve">Az aszimmetrikus katalitikus allil-helyzetű szubsztitúció szén-szén és szén-heteroatom kötés enantioszelektív kialakítására alkalmas eljárás.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Munkám során axiális kiralitású binaftil-vázzal rendelkező egyfogú foszfit ligandumokat állítottam elő, majd elkészítettem ezek [Pd(η-C3H5)(L*)2]BF4 összetételű komplexeit. Palládium-katalizált aszimmetrikus allil-helyzetű szubsztitúciós reakcióban vizsgáltam a katalizátormódosító ligandum elektronikus tulajdonságainak hatását a reakció aktivitására és enantioszelektivitására.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996800" cy="1209600"/>
            <wp:docPr id="6161546" name="name15484676db9b63" descr="imgtmp_31811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811_hu_1.gif"/>
                    <pic:cNvPicPr/>
                  </pic:nvPicPr>
                  <pic:blipFill>
                    <a:blip r:embed="rId15484676db9b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6800" cy="12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ábra: Palládium-katalizált aszimmetrikus allil-helyzetű szubsztitúció</w:t>
      </w:r>
      <w:r>
        <w:rPr>
          <w:color w:val="000000"/>
          <w:sz w:val="24"/>
          <w:szCs w:val="24"/>
        </w:rPr>
        <w:br/>
        <w:t xml:space="preserve">Tanulmányoztam továbbá a ligandum-kombinációs módszer alkalmazhatóságát a vizsgált katalitikus reakcióban.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Különböző egyfogú katalizátormódosító ligandumok 1:1 mólarányú, egyidejű alkalmazásával igen jó aktivitással és szelektivitással sikerült előállítani a katalitikus reakció termékét.</w:t>
      </w:r>
      <w:r>
        <w:rPr>
          <w:color w:val="000000"/>
          <w:sz w:val="24"/>
          <w:szCs w:val="24"/>
        </w:rPr>
        <w:br/>
        <w:t xml:space="preserve">A ligandumok elektronikus tulajdonságainak jellemzésére ródium-karbonil és szelénszármazékokat is előállítottam, melyek IR- és NMR-spektroszkópiai elemzésével egyértelmű összefüggést állapítottam meg a vegyületek szerkezete és a foszforatom donorsajátsága között.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1</w:t>
      </w:r>
      <w:r>
        <w:rPr>
          <w:color w:val="000000"/>
          <w:sz w:val="24"/>
          <w:szCs w:val="24"/>
        </w:rPr>
        <w:t xml:space="preserve">Trost, B. M. J. Org. Chem. 2004, 69, 5813-5837. 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Gennari, C.; Piarulli, U. Chem. Rev. 2003, 103, 3071-3100.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732165">
    <w:multiLevelType w:val="hybridMultilevel"/>
    <w:lvl w:ilvl="0" w:tplc="17879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732165">
    <w:abstractNumId w:val="657321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445746" Type="http://schemas.openxmlformats.org/officeDocument/2006/relationships/numbering" Target="numbering.xml"/><Relationship Id="rId15484676db9b08" Type="http://schemas.openxmlformats.org/officeDocument/2006/relationships/image" Target="media/imgrId15484676db9b08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