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NEMES</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Farkas</w:t>
            </w:r>
          </w:p>
          <w:p w:rsidR="00DB4822" w:rsidRDefault="00DB4822" w:rsidP="00E11062">
            <w:pPr>
              <w:pStyle w:val="Konzulensek"/>
            </w:pPr>
            <w:r w:rsidRPr="00DB4822">
              <w:t>junior research fellow, PE MK</w:t>
            </w:r>
          </w:p>
        </w:tc>
      </w:tr>
      <w:tr w:rsidR="00DB4822" w:rsidTr="00DB4822">
        <w:tc>
          <w:tcPr>
            <w:tcW w:w="9854" w:type="dxa"/>
          </w:tcPr>
          <w:p w:rsidR="00DB4822" w:rsidRPr="00DB4822" w:rsidRDefault="00DB4822" w:rsidP="004D7940">
            <w:pPr>
              <w:pStyle w:val="Konzulensek"/>
            </w:pPr>
            <w:r w:rsidRPr="00DB4822">
              <w:t>Dr. József Bakos</w:t>
            </w:r>
          </w:p>
          <w:p w:rsidR="00DB4822" w:rsidRDefault="00DB4822" w:rsidP="00E11062">
            <w:pPr>
              <w:pStyle w:val="Konzulensek"/>
            </w:pPr>
            <w:r w:rsidRPr="00DB4822">
              <w:t>Professor Emeritus,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building blocks for biologically active compounds by asymmetric allylation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asymmetric allylic substitution, palladium-catalyzed reaction, phosphite ligands, heteroligand combination approach</w:t>
      </w:r>
      <w:r>
        <w:t xml:space="preserve"/>
      </w:r>
    </w:p>
    <w:p>
      <w:pPr>
        <w:widowControl w:val="on"/>
        <w:pBdr/>
        <w:spacing w:before="240" w:after="240" w:line="240" w:lineRule="auto"/>
        <w:ind w:left="0" w:right="0"/>
        <w:jc w:val="left"/>
      </w:pPr>
      <w:r>
        <w:rPr>
          <w:color w:val="000000"/>
          <w:sz w:val="24"/>
          <w:szCs w:val="24"/>
        </w:rPr>
        <w:t xml:space="preserve">The asymmetric syntheses constitute an important field of green chemistry, since in fine chemical processes the quantity of starting materials can be significantly decreased in each selective step. Another substantial feature of asymmetric syntheses is that the chiral information can be transferred from a small quantity of catalyst to a large amount of substrate. Chiral catalysts can be for example transition metal complexes modified by chiral ligands.</w:t>
      </w:r>
      <w:r>
        <w:rPr>
          <w:color w:val="000000"/>
          <w:sz w:val="24"/>
          <w:szCs w:val="24"/>
        </w:rPr>
        <w:br/>
        <w:t xml:space="preserve">Asymmetric allylic substitution is a suitable catalytic process for the enantioselective formation of carbon-carbon and carbon heteroatom bonds.</w:t>
      </w:r>
      <w:r>
        <w:rPr>
          <w:color w:val="000000"/>
          <w:position w:val="4"/>
          <w:sz w:val="21"/>
          <w:szCs w:val="21"/>
          <w:vertAlign w:val="superscript"/>
        </w:rPr>
        <w:t xml:space="preserve">1</w:t>
      </w:r>
      <w:r>
        <w:rPr>
          <w:color w:val="000000"/>
          <w:sz w:val="24"/>
          <w:szCs w:val="24"/>
        </w:rPr>
        <w:t xml:space="preserve"> The present work focuses on the synthesis of monodentate phosphite ligands (L*) with axially chiral binaphthyl framework and the preparation of their [Pd(η-C3H5)(L*)2]BF4 type complexes. The effect of the electronic properties of the ligands was investigated in asymmetric allylic alkylation reactions.</w:t>
      </w:r>
    </w:p>
    <w:p>
      <w:pPr>
        <w:widowControl w:val="on"/>
        <w:pBdr/>
        <w:spacing w:before="240" w:after="240" w:line="240" w:lineRule="auto"/>
        <w:ind w:left="0" w:right="0"/>
        <w:jc w:val="left"/>
      </w:pPr>
      <w:r>
        <w:rPr>
          <w:color w:val="000000"/>
          <w:sz w:val="24"/>
          <w:szCs w:val="24"/>
        </w:rPr>
        <w:drawing>
          <wp:inline distT="0" distB="0" distL="0" distR="0">
            <wp:extent cx="4996800" cy="1209600"/>
            <wp:docPr id="73441705" name="name154846765b73ea" descr="imgtmp_3181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11_int_1.gif"/>
                    <pic:cNvPicPr/>
                  </pic:nvPicPr>
                  <pic:blipFill>
                    <a:blip r:embed="rId154846765b738d" cstate="print"/>
                    <a:stretch>
                      <a:fillRect/>
                    </a:stretch>
                  </pic:blipFill>
                  <pic:spPr>
                    <a:xfrm>
                      <a:off x="0" y="0"/>
                      <a:ext cx="4996800" cy="1209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Scheme 1: Palladium-catalyzed asymmetric allylic alkylation</w:t>
      </w:r>
      <w:r>
        <w:rPr>
          <w:color w:val="000000"/>
          <w:sz w:val="24"/>
          <w:szCs w:val="24"/>
        </w:rPr>
        <w:br/>
        <w:t xml:space="preserve">Furthermore, by using the chiral monophosphite ligands the heteroligand combination approach was also studied in the catalytic process.</w:t>
      </w:r>
      <w:r>
        <w:rPr>
          <w:color w:val="000000"/>
          <w:position w:val="4"/>
          <w:sz w:val="21"/>
          <w:szCs w:val="21"/>
          <w:vertAlign w:val="superscript"/>
        </w:rPr>
        <w:t xml:space="preserve">2</w:t>
      </w:r>
      <w:r>
        <w:rPr>
          <w:color w:val="000000"/>
          <w:sz w:val="24"/>
          <w:szCs w:val="24"/>
        </w:rPr>
        <w:t xml:space="preserve"> By the application of a 1:1 mixture of the new monodentate ligand and an achiral phosphine very high activities and enantioselectivities could be obtained.</w:t>
      </w:r>
      <w:r>
        <w:rPr>
          <w:color w:val="000000"/>
          <w:sz w:val="24"/>
          <w:szCs w:val="24"/>
        </w:rPr>
        <w:br/>
        <w:t xml:space="preserve">In order to gain a deeper insight into the electronic properties of the ligands, their rhodium-carbonyl complexes and selenium derivatives were also synthesized and analyzed by IR and NMR spectroscopy. Based on these spectroscopic data, an unambiguous relationship was found between the structure of the ligands and the basicity of the phosphorus atom.</w:t>
      </w:r>
      <w:r>
        <w:rPr>
          <w:color w:val="000000"/>
          <w:position w:val="4"/>
          <w:sz w:val="21"/>
          <w:szCs w:val="21"/>
          <w:vertAlign w:val="superscript"/>
        </w:rPr>
        <w:br/>
        <w:t xml:space="preserve">1</w:t>
      </w:r>
      <w:r>
        <w:rPr>
          <w:color w:val="000000"/>
          <w:sz w:val="24"/>
          <w:szCs w:val="24"/>
        </w:rPr>
        <w:t xml:space="preserve">Trost, B. M. J. Org. Chem. 2004, 69, 5813-5837. </w:t>
      </w:r>
      <w:r>
        <w:rPr>
          <w:color w:val="000000"/>
          <w:position w:val="4"/>
          <w:sz w:val="21"/>
          <w:szCs w:val="21"/>
          <w:vertAlign w:val="superscript"/>
        </w:rPr>
        <w:t xml:space="preserve">2</w:t>
      </w:r>
      <w:r>
        <w:rPr>
          <w:color w:val="000000"/>
          <w:sz w:val="24"/>
          <w:szCs w:val="24"/>
        </w:rPr>
        <w:t xml:space="preserve">Gennari, C.; Piarulli, U. Chem. Rev. 2003, 103, 3071-3100.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47613">
    <w:multiLevelType w:val="hybridMultilevel"/>
    <w:lvl w:ilvl="0" w:tplc="17990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47613">
    <w:abstractNumId w:val="41947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922673" Type="http://schemas.openxmlformats.org/officeDocument/2006/relationships/numbering" Target="numbering.xml"/><Relationship Id="rId154846765b738d" Type="http://schemas.openxmlformats.org/officeDocument/2006/relationships/image" Target="media/imgrId154846765b738d.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