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BUCHHOLCZ BALÁZS</w:t>
            </w:r>
          </w:p>
          <w:p w:rsidR="00C275A3" w:rsidRDefault="00A96AEC" w:rsidP="00C275A3">
            <w:pPr>
              <w:pStyle w:val="Hallgatokepzes"/>
            </w:pPr>
            <w:r>
              <w:t>Vagyész</w:t>
            </w:r>
            <w:r>
              <w:br/>
            </w:r>
            <w:r w:rsidR="00E77B23">
              <w:t>MSc, 3.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Kónya Zoltán</w:t>
            </w:r>
          </w:p>
          <w:p w:rsidR="00DB4822" w:rsidRDefault="00DB4822" w:rsidP="00E11062">
            <w:pPr>
              <w:pStyle w:val="Konzulensek"/>
            </w:pPr>
            <w:r w:rsidRPr="00DB4822">
              <w:t>tanszékvezető egyetemi tanár, SZTE TTIK</w:t>
            </w:r>
          </w:p>
        </w:tc>
      </w:tr>
      <w:tr w:rsidR="00DB4822" w:rsidTr="00DB4822">
        <w:tc>
          <w:tcPr>
            <w:tcW w:w="9854" w:type="dxa"/>
          </w:tcPr>
          <w:p w:rsidR="00DB4822" w:rsidRPr="00DB4822" w:rsidRDefault="00DB4822" w:rsidP="004D7940">
            <w:pPr>
              <w:pStyle w:val="Konzulensek"/>
            </w:pPr>
            <w:r w:rsidRPr="00DB4822">
              <w:t>Dr. Haspel Henrik</w:t>
            </w:r>
          </w:p>
          <w:p w:rsidR="00DB4822" w:rsidRDefault="00DB4822" w:rsidP="00E11062">
            <w:pPr>
              <w:pStyle w:val="Konzulensek"/>
            </w:pPr>
            <w:r w:rsidRPr="00DB4822">
              <w:t>egyetemi tanársegéd,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Nitrogénnel adalékolt TiO2 nanorészecskék alacsony hőmérsékletű előállítása titanát nanocsövekből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hőkezelés; stabilitás; fázisátalakulás; nanoszerkezetek; fázisdiagram</w:t>
      </w:r>
      <w:r>
        <w:t xml:space="preserve"/>
      </w:r>
    </w:p>
    <w:p>
      <w:pPr>
        <w:widowControl w:val="on"/>
        <w:pBdr/>
        <w:spacing w:before="240" w:after="240" w:line="240" w:lineRule="auto"/>
        <w:ind w:left="0" w:right="0"/>
        <w:jc w:val="left"/>
      </w:pPr>
      <w:r>
        <w:rPr>
          <w:color w:val="000000"/>
          <w:sz w:val="24"/>
          <w:szCs w:val="24"/>
        </w:rPr>
        <w:t xml:space="preserve">Az elmúlt két évtizedben a nanocsövek váltak a gyorsan fejlődő új kutatási terület, a nanotechnológia, szimbólumává. Trititanát szerkezetű nanocsöveket (Na</w:t>
      </w:r>
      <w:r>
        <w:rPr>
          <w:color w:val="000000"/>
          <w:position w:val="-4"/>
          <w:sz w:val="21"/>
          <w:szCs w:val="21"/>
          <w:vertAlign w:val="subscript"/>
        </w:rPr>
        <w:t xml:space="preserve">x</w:t>
      </w:r>
      <w:r>
        <w:rPr>
          <w:color w:val="000000"/>
          <w:sz w:val="24"/>
          <w:szCs w:val="24"/>
        </w:rPr>
        <w:t xml:space="preserve">H</w:t>
      </w:r>
      <w:r>
        <w:rPr>
          <w:color w:val="000000"/>
          <w:position w:val="-4"/>
          <w:sz w:val="21"/>
          <w:szCs w:val="21"/>
          <w:vertAlign w:val="subscript"/>
        </w:rPr>
        <w:t xml:space="preserve">2-x</w:t>
      </w:r>
      <w:r>
        <w:rPr>
          <w:color w:val="000000"/>
          <w:sz w:val="24"/>
          <w:szCs w:val="24"/>
        </w:rPr>
        <w:t xml:space="preserve">Ti</w:t>
      </w:r>
      <w:r>
        <w:rPr>
          <w:color w:val="000000"/>
          <w:position w:val="-4"/>
          <w:sz w:val="21"/>
          <w:szCs w:val="21"/>
          <w:vertAlign w:val="subscript"/>
        </w:rPr>
        <w:t xml:space="preserve">3</w:t>
      </w:r>
      <w:r>
        <w:rPr>
          <w:color w:val="000000"/>
          <w:sz w:val="24"/>
          <w:szCs w:val="24"/>
        </w:rPr>
        <w:t xml:space="preserve">O</w:t>
      </w:r>
      <w:r>
        <w:rPr>
          <w:color w:val="000000"/>
          <w:position w:val="-4"/>
          <w:sz w:val="21"/>
          <w:szCs w:val="21"/>
          <w:vertAlign w:val="subscript"/>
        </w:rPr>
        <w:t xml:space="preserve">7</w:t>
      </w:r>
      <w:r>
        <w:rPr>
          <w:color w:val="000000"/>
          <w:sz w:val="24"/>
          <w:szCs w:val="24"/>
        </w:rPr>
        <w:t xml:space="preserve">) először Kasuga és munkatársai állítottak elő. Nagy fajlagos felületű TiO</w:t>
      </w:r>
      <w:r>
        <w:rPr>
          <w:color w:val="000000"/>
          <w:position w:val="-4"/>
          <w:sz w:val="21"/>
          <w:szCs w:val="21"/>
          <w:vertAlign w:val="subscript"/>
        </w:rPr>
        <w:t xml:space="preserve">2</w:t>
      </w:r>
      <w:r>
        <w:rPr>
          <w:color w:val="000000"/>
          <w:sz w:val="24"/>
          <w:szCs w:val="24"/>
        </w:rPr>
        <w:t xml:space="preserve">-ot szerettek volna előállítani, így javítva annak fotokatalitikus tulajdonságait. Az általuk alkalmazott alkáli lúgos kezelés hatására azonban morfológiai változást tapasztaltak, és ~8 nm átmérőjű, ~100 nm hosszúságú csőszerű képződmények jelentek meg a mintában. Napjainkban számos felhasználási lehetőségük ismert: nagy fajlagos felületű mezopórusos katalizátor-hordozók, adszorbensek, ioncserélők, alkalmazzák lítium-ionos akkumulátorok fejlesztéséhez, az orvosbiológiában, valamint ígéretes fotokatalizátorok.</w:t>
      </w:r>
    </w:p>
    <w:p>
      <w:pPr>
        <w:widowControl w:val="on"/>
        <w:pBdr/>
        <w:spacing w:before="240" w:after="240" w:line="240" w:lineRule="auto"/>
        <w:ind w:left="0" w:right="0"/>
        <w:jc w:val="left"/>
      </w:pPr>
      <w:r>
        <w:rPr>
          <w:color w:val="000000"/>
          <w:sz w:val="24"/>
          <w:szCs w:val="24"/>
        </w:rPr>
        <w:t xml:space="preserve">Munkánk során hidrotermális eljárással titanát nanocsöveket állítottunk elő, amelyeket protonálás után nitrogénnel adalékoltunk. Nitrogénforrásként karbamid hőbontásával fejlesztett ammóniagázt használtunk, ami a későbbiekben az eddig ismert gázfázisú eljárások olcsó és alacsony hőmérsékletű alternatíváját jelentheti. Az adalékolás idejének változtatásával előállított mintasorozat egyes tagjait különböző hőmérsékleteken kalcináltuk, és az anyag morfológiájában, valamint fázisában bekövetkező változásokat tanulmányoztuk. Vizsgálatainkhoz transzmissziós és pásztázó elektronmikroszkópiát (TEM, SEM), energiadiszperzív röntgenspektrometriát (EDS), valamint röntgen-, és határolt területű elektrondiffrakciós (XRD, SAED) méréseket alkalmaztunk.</w:t>
      </w:r>
    </w:p>
    <w:p>
      <w:pPr>
        <w:widowControl w:val="on"/>
        <w:pBdr/>
        <w:spacing w:before="240" w:after="240" w:line="240" w:lineRule="auto"/>
        <w:ind w:left="0" w:right="0"/>
        <w:jc w:val="left"/>
      </w:pPr>
      <w:r>
        <w:rPr>
          <w:color w:val="000000"/>
          <w:sz w:val="24"/>
          <w:szCs w:val="24"/>
        </w:rPr>
        <w:t xml:space="preserve">A nitrogéntartalom növekedésével, illetve a kalcinálás hőmérsékletének emelkedésével a titanát nanocsövek méret-, és alakbeli változást szenvedtek, továbbá fázisösszetételük is módosult. A nanocsövek az alkalmazott hőkezelés hatására fokozatosan előbb anatáz, majd rutil fázisú TiO</w:t>
      </w:r>
      <w:r>
        <w:rPr>
          <w:color w:val="000000"/>
          <w:position w:val="-4"/>
          <w:sz w:val="21"/>
          <w:szCs w:val="21"/>
          <w:vertAlign w:val="subscript"/>
        </w:rPr>
        <w:t xml:space="preserve">2</w:t>
      </w:r>
      <w:r>
        <w:rPr>
          <w:color w:val="000000"/>
          <w:sz w:val="24"/>
          <w:szCs w:val="24"/>
        </w:rPr>
        <w:t xml:space="preserve">-dá alakultak át. Ezzel párhuzamosan a kezdeti csöves morfológia felbomlott: az alacsonyabb hőmérsékletekre jellemző rúdszerű formából szabályos alakú, nitrogénnel adalékolt nanorészecskék alakultak ki.[1]</w:t>
      </w:r>
    </w:p>
    <w:p>
      <w:pPr>
        <w:widowControl w:val="on"/>
        <w:pBdr/>
        <w:spacing w:before="240" w:after="240" w:line="240" w:lineRule="auto"/>
        <w:ind w:left="0" w:right="0"/>
        <w:jc w:val="left"/>
      </w:pPr>
      <w:r>
        <w:rPr>
          <w:color w:val="000000"/>
          <w:sz w:val="24"/>
          <w:szCs w:val="24"/>
        </w:rPr>
        <w:t xml:space="preserve">[1] Buchholcz, B.; Haspel, H.; Kukovecz, Á.; Kónya, Z. Low-temperature conversion of titanate nanotubes into nitrogen-doped TiO</w:t>
      </w:r>
      <w:r>
        <w:rPr>
          <w:color w:val="000000"/>
          <w:position w:val="-4"/>
          <w:sz w:val="21"/>
          <w:szCs w:val="21"/>
          <w:vertAlign w:val="subscript"/>
        </w:rPr>
        <w:t xml:space="preserve">2</w:t>
      </w:r>
      <w:r>
        <w:rPr>
          <w:color w:val="000000"/>
          <w:sz w:val="24"/>
          <w:szCs w:val="24"/>
        </w:rPr>
        <w:t xml:space="preserve"> nanoparticles. CrystEngComm 2014, 16 (32), 7486-7492.</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19044">
    <w:multiLevelType w:val="hybridMultilevel"/>
    <w:lvl w:ilvl="0" w:tplc="80090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19044">
    <w:abstractNumId w:val="15619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527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