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ENDRE GÁBOR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Kotschy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DSc Divízió-igazgató,  Servier Gyógyászati és Vegytani Intézet Rákkutatási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Vasas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Servier Gyógyászati és Vegytani Intézet Rákkutatási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Kinoidális tetrazinok szintézise és fotokémiai bomlásuk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karbén; kinoidális tetrazin; fotoreakció;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kezdeti lépésében a kinoidális tetrazinok szintéziséhez szükséges karbénprekurzor sók négy lépésű szintézisét, majd a kinoidális tetrazinok elkészítését hajtottuk végre. Az így nyert 6 lila színű, kinoidális tetrazint fotokémiai reakcióknak, fotokémiai bontásnak vetettük alá.</w:t>
      </w:r>
      <w:r>
        <w:rPr>
          <w:color w:val="000000"/>
          <w:sz w:val="24"/>
          <w:szCs w:val="24"/>
        </w:rPr>
        <w:br/>
        <w:t xml:space="preserve">A fotokémiai bontásokat kétféle oldószerben, a dipoláros, aprotikus acetonitrilben, és a nukleofil jellegekkel rendelkező metanolban hajtottuk végre. A reakciókat minden esetben a lila oldat elszíntelenedéséig, illetve halványsárga szín megjelenéséig folytattuk. Az acetonitrilben végrehajtott reakciók esetén a mintavételezés percenként történt, míg metanolban a bomlás lassabban játszódott le, így 2-5 percenként történt mintavétel. A reakciók követése minden esetben HPLC-MS és NMR technikákkal történt.</w:t>
      </w:r>
      <w:r>
        <w:rPr>
          <w:color w:val="000000"/>
          <w:sz w:val="24"/>
          <w:szCs w:val="24"/>
        </w:rPr>
        <w:br/>
        <w:t xml:space="preserve">Ezek után a reakcióban keletkezett termékek tisztítása és izolálása következett. A tisztítási lépések preparatív HPLC-n, illetve normál fázisú flash kromatográfon zajlottak, míg a termékek szerkezetigazolására HPLC-MS, HR-MS, NMR és röntgenkrisztallográfiás technikákat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944800" cy="1886400"/>
            <wp:docPr id="7052617" name="name154fd6b48af35b" descr="imgtmp_3183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5_hu_1.jpg"/>
                    <pic:cNvPicPr/>
                  </pic:nvPicPr>
                  <pic:blipFill>
                    <a:blip r:embed="rId154fd6b48af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4800" cy="188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 Tetrazinok szintézise, majd fénnyel történő bontásuk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92653">
    <w:multiLevelType w:val="hybridMultilevel"/>
    <w:lvl w:ilvl="0" w:tplc="60737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92653">
    <w:abstractNumId w:val="63592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166142" Type="http://schemas.openxmlformats.org/officeDocument/2006/relationships/numbering" Target="numbering.xml"/><Relationship Id="rId154fd6b48af305" Type="http://schemas.openxmlformats.org/officeDocument/2006/relationships/image" Target="media/imgrId154fd6b48af305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