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ENDRE</w:t>
            </w:r>
          </w:p>
          <w:p w:rsidR="00C275A3" w:rsidRDefault="00A96AEC" w:rsidP="00C275A3">
            <w:pPr>
              <w:pStyle w:val="Hallgatokepzes"/>
            </w:pPr>
            <w:r>
              <w:t>Chemisrty</w:t>
            </w:r>
            <w:r>
              <w:br/>
            </w:r>
            <w:r w:rsidR="00E77B23">
              <w:t>MSc, 2.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Kotschy, DSc</w:t>
            </w:r>
          </w:p>
          <w:p w:rsidR="00DB4822" w:rsidRDefault="00DB4822" w:rsidP="00E11062">
            <w:pPr>
              <w:pStyle w:val="Konzulensek"/>
            </w:pPr>
            <w:r w:rsidRPr="00DB4822">
              <w:t>Head of division,  Servier Research Institute of Medicinal Chemisrty</w:t>
            </w:r>
          </w:p>
        </w:tc>
      </w:tr>
      <w:tr w:rsidR="00DB4822" w:rsidTr="00DB4822">
        <w:tc>
          <w:tcPr>
            <w:tcW w:w="9854" w:type="dxa"/>
          </w:tcPr>
          <w:p w:rsidR="00DB4822" w:rsidRPr="00DB4822" w:rsidRDefault="00DB4822" w:rsidP="004D7940">
            <w:pPr>
              <w:pStyle w:val="Konzulensek"/>
            </w:pPr>
            <w:r w:rsidRPr="00DB4822">
              <w:t>Attila Vasas, PhD</w:t>
            </w:r>
          </w:p>
          <w:p w:rsidR="00DB4822" w:rsidRDefault="00DB4822" w:rsidP="00E11062">
            <w:pPr>
              <w:pStyle w:val="Konzulensek"/>
            </w:pPr>
            <w:r w:rsidRPr="00DB4822">
              <w:t>Researcher,  Servier Research Institute of Medicinal Chemisrty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photochemical decomposition of quinoidal tetrazines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carbene; quinoidal tetrazines; photochemical decomposition</w:t>
      </w:r>
      <w:r>
        <w:t xml:space="preserve"/>
      </w:r>
    </w:p>
    <w:p>
      <w:pPr>
        <w:widowControl w:val="on"/>
        <w:pBdr/>
        <w:spacing w:before="240" w:after="240" w:line="240" w:lineRule="auto"/>
        <w:ind w:left="0" w:right="0"/>
        <w:jc w:val="left"/>
      </w:pPr>
      <w:r>
        <w:rPr>
          <w:color w:val="000000"/>
          <w:sz w:val="24"/>
          <w:szCs w:val="24"/>
        </w:rPr>
        <w:t xml:space="preserve">In the initial step of our work, a four-step synthesis of the carbene precursor agents required for the synthesis of quinoidal tetrazines, and then the preparation of 6 quinoidal tetrazines was performed. Then the prepared quinoidal tetrazines were decomposed by light.</w:t>
      </w:r>
      <w:r>
        <w:rPr>
          <w:color w:val="000000"/>
          <w:sz w:val="24"/>
          <w:szCs w:val="24"/>
        </w:rPr>
        <w:br/>
        <w:t xml:space="preserve">The decompositions were carried out in two solvents, the dipolar aprotic acetonitrile and methanol with a nucleophilic character. In all cases, the purple solutions were irradiated util they became colorless or pale yellow. In the case of reactions carried out in acetonitrile the sampling occurred in every minute, while the methanolic decomposition took place slowly, therefore 2-5 minutes of sampling was required. In all cases, the reactions were followed by HPLC-MS and NMR spectroscopy.</w:t>
      </w:r>
      <w:r>
        <w:rPr>
          <w:color w:val="000000"/>
          <w:sz w:val="24"/>
          <w:szCs w:val="24"/>
        </w:rPr>
        <w:br/>
        <w:t xml:space="preserve">After decomposing all staring materials, the next steps were the purification and isolation of the products. Reaction mixtures, were purified by preparative HPLC and normal phase flash chromatography. Structurests of the products were identified by HPLC-MS, HR-MS, 1H-, 13C-NMR and X-ray christallographyc techniques.</w:t>
      </w:r>
    </w:p>
    <w:p>
      <w:pPr>
        <w:widowControl w:val="on"/>
        <w:pBdr/>
        <w:spacing w:before="240" w:after="240" w:line="240" w:lineRule="auto"/>
        <w:ind w:left="0" w:right="0"/>
        <w:jc w:val="left"/>
      </w:pPr>
      <w:r>
        <w:rPr>
          <w:color w:val="000000"/>
          <w:sz w:val="24"/>
          <w:szCs w:val="24"/>
        </w:rPr>
        <w:drawing>
          <wp:inline distT="0" distB="0" distL="0" distR="0">
            <wp:extent cx="0" cy="0"/>
            <wp:docPr id="29455759" name="name1547f70c4265e5" descr="imgtmp_31835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835_int_1.gif"/>
                    <pic:cNvPicPr/>
                  </pic:nvPicPr>
                  <pic:blipFill>
                    <a:blip r:embed="rId1547f70c42658f" cstate="print"/>
                    <a:stretch>
                      <a:fillRect/>
                    </a:stretch>
                  </pic:blipFill>
                  <pic:spPr>
                    <a:xfrm>
                      <a:off x="0" y="0"/>
                      <a:ext cx="0" cy="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Figure 1. Synthesis and photochemical decomposition of quinoidal tetrazines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04151">
    <w:multiLevelType w:val="hybridMultilevel"/>
    <w:lvl w:ilvl="0" w:tplc="34138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04151">
    <w:abstractNumId w:val="109041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5353872" Type="http://schemas.openxmlformats.org/officeDocument/2006/relationships/numbering" Target="numbering.xml"/><Relationship Id="rId1547f70c42658f" Type="http://schemas.openxmlformats.org/officeDocument/2006/relationships/image" Target="media/imgrId1547f70c42658f.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