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ILONA KISS</w:t>
            </w:r>
          </w:p>
          <w:p w:rsidR="00C275A3" w:rsidRDefault="00A96AEC" w:rsidP="00C275A3">
            <w:pPr>
              <w:pStyle w:val="Hallgatokepzes"/>
            </w:pPr>
            <w:r>
              <w:t>Chemistry</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Anna Enyedy Dr.</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Orsolya Domotor dr. pharm.</w:t>
            </w:r>
          </w:p>
          <w:p w:rsidR="00DB4822" w:rsidRDefault="00DB4822" w:rsidP="00E11062">
            <w:pPr>
              <w:pStyle w:val="Konzulensek"/>
            </w:pPr>
            <w:r w:rsidRPr="00DB4822">
              <w:t>junior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Antitumor RhCp*-complexes: solution equilibria, interaction with albumin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hydrolysis; stability; transport protein; markers</w:t>
      </w:r>
      <w:r>
        <w:t xml:space="preserve"/>
      </w:r>
    </w:p>
    <w:p>
      <w:pPr>
        <w:widowControl w:val="on"/>
        <w:pBdr/>
        <w:spacing w:before="240" w:after="240" w:line="240" w:lineRule="auto"/>
        <w:ind w:left="0" w:right="0"/>
        <w:jc w:val="left"/>
      </w:pPr>
      <w:r>
        <w:rPr>
          <w:color w:val="000000"/>
          <w:sz w:val="24"/>
          <w:szCs w:val="24"/>
        </w:rPr>
        <w:t xml:space="preserve">Last years in the fight against cancer diseases the complexes of transition metals received more and more important role owing to the clinical success of cisplatin. According that, nowadays the main goal of the development of novel metallodrugs is to increase the specificity of these complexes for tumor cells. Among others the Rh(III) compounds mean promising possibility as an option in the cancer therapy beside the Pt(II) complexes.</w:t>
      </w:r>
      <w:r>
        <w:rPr>
          <w:color w:val="000000"/>
          <w:sz w:val="24"/>
          <w:szCs w:val="24"/>
        </w:rPr>
        <w:br/>
        <w:t xml:space="preserve">In the course of this research we studied the solution equilibria of the half-sandwich [RhCp*(Z)</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(Z=H</w:t>
      </w:r>
      <w:r>
        <w:rPr>
          <w:color w:val="000000"/>
          <w:position w:val="-4"/>
          <w:sz w:val="21"/>
          <w:szCs w:val="21"/>
          <w:vertAlign w:val="subscript"/>
        </w:rPr>
        <w:t xml:space="preserve">2</w:t>
      </w:r>
      <w:r>
        <w:rPr>
          <w:color w:val="000000"/>
          <w:sz w:val="24"/>
          <w:szCs w:val="24"/>
        </w:rPr>
        <w:t xml:space="preserve">O, Cp*=pentamethylcyclopentadienyl) organometallic complex with a hydroxy-pyrone (3-hydroxy-2-methyl-pyran-4(1H)-one, mal) and a hydroxy-pyridinone (3-hydroxy-1,2-dimethyl-pyridinone, Deferiprone®, dhp) ligand in chloride-free medium. The equilibrium processes were studied by different methods (pH-potentiometry, UV-visible spectrophotometry, </w:t>
      </w:r>
      <w:r>
        <w:rPr>
          <w:color w:val="000000"/>
          <w:position w:val="4"/>
          <w:sz w:val="21"/>
          <w:szCs w:val="21"/>
          <w:vertAlign w:val="superscript"/>
        </w:rPr>
        <w:t xml:space="preserve">1</w:t>
      </w:r>
      <w:r>
        <w:rPr>
          <w:color w:val="000000"/>
          <w:sz w:val="24"/>
          <w:szCs w:val="24"/>
        </w:rPr>
        <w:t xml:space="preserve">H NMR spectroscopy). Since previously the hydrolytical processes of the RhCp* were studied in a chloride-containing medium [1],we characterized of the hydrolysis of species [RhCp*(H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in a chloride-free medium, and the stability constants of the different hydrolysis species were determined.</w:t>
      </w:r>
    </w:p>
    <w:p>
      <w:pPr>
        <w:widowControl w:val="on"/>
        <w:pBdr/>
        <w:spacing w:before="240" w:after="240" w:line="240" w:lineRule="auto"/>
        <w:ind w:left="0" w:right="0"/>
        <w:jc w:val="left"/>
      </w:pPr>
      <w:r>
        <w:rPr>
          <w:color w:val="000000"/>
          <w:sz w:val="24"/>
          <w:szCs w:val="24"/>
        </w:rPr>
        <w:drawing>
          <wp:inline distT="0" distB="0" distL="0" distR="0">
            <wp:extent cx="3031200" cy="993600"/>
            <wp:docPr id="40447724" name="name1547ebe08bdeeb" descr="imgtmp_31836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836_int_1.gif"/>
                    <pic:cNvPicPr/>
                  </pic:nvPicPr>
                  <pic:blipFill>
                    <a:blip r:embed="rId1547ebe08bde92" cstate="print"/>
                    <a:stretch>
                      <a:fillRect/>
                    </a:stretch>
                  </pic:blipFill>
                  <pic:spPr>
                    <a:xfrm>
                      <a:off x="0" y="0"/>
                      <a:ext cx="3031200" cy="993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br/>
        <w:t xml:space="preserve">The pharmacokinetical representation is indispensable in that case of a potential metallodrug. So interaction between the [RhCp*Z</w:t>
      </w:r>
      <w:r>
        <w:rPr>
          <w:color w:val="000000"/>
          <w:position w:val="-4"/>
          <w:sz w:val="21"/>
          <w:szCs w:val="21"/>
          <w:vertAlign w:val="subscript"/>
        </w:rPr>
        <w:t xml:space="preserve">3</w:t>
      </w:r>
      <w:r>
        <w:rPr>
          <w:color w:val="000000"/>
          <w:sz w:val="24"/>
          <w:szCs w:val="24"/>
        </w:rPr>
        <w:t xml:space="preserve">] (Z = H</w:t>
      </w:r>
      <w:r>
        <w:rPr>
          <w:color w:val="000000"/>
          <w:position w:val="-4"/>
          <w:sz w:val="21"/>
          <w:szCs w:val="21"/>
          <w:vertAlign w:val="subscript"/>
        </w:rPr>
        <w:t xml:space="preserve">2</w:t>
      </w:r>
      <w:r>
        <w:rPr>
          <w:color w:val="000000"/>
          <w:sz w:val="24"/>
          <w:szCs w:val="24"/>
        </w:rPr>
        <w:t xml:space="preserve">O / Cl</w:t>
      </w:r>
      <w:r>
        <w:rPr>
          <w:color w:val="000000"/>
          <w:position w:val="4"/>
          <w:sz w:val="21"/>
          <w:szCs w:val="21"/>
          <w:vertAlign w:val="superscript"/>
        </w:rPr>
        <w:t xml:space="preserve">-</w:t>
      </w:r>
      <w:r>
        <w:rPr>
          <w:color w:val="000000"/>
          <w:sz w:val="24"/>
          <w:szCs w:val="24"/>
        </w:rPr>
        <w:t xml:space="preserve">) compound or its complexes (formed with dhp and a pyridinecarboxylic acid (picolinic acid, pic)) and human serum albumin was also studied in the present work. HSA is the most important transport protein of the blood. These interactions were studied by spectrofluorimetry, and site marker molecules were applied to obtain information about the binding sites. The interaction between [RhCp*Z</w:t>
      </w:r>
      <w:r>
        <w:rPr>
          <w:color w:val="000000"/>
          <w:position w:val="-4"/>
          <w:sz w:val="21"/>
          <w:szCs w:val="21"/>
          <w:vertAlign w:val="subscript"/>
        </w:rPr>
        <w:t xml:space="preserve">3</w:t>
      </w:r>
      <w:r>
        <w:rPr>
          <w:color w:val="000000"/>
          <w:sz w:val="24"/>
          <w:szCs w:val="24"/>
        </w:rPr>
        <w:t xml:space="preserve">] (Z = H</w:t>
      </w:r>
      <w:r>
        <w:rPr>
          <w:color w:val="000000"/>
          <w:position w:val="-4"/>
          <w:sz w:val="21"/>
          <w:szCs w:val="21"/>
          <w:vertAlign w:val="subscript"/>
        </w:rPr>
        <w:t xml:space="preserve">2</w:t>
      </w:r>
      <w:r>
        <w:rPr>
          <w:color w:val="000000"/>
          <w:sz w:val="24"/>
          <w:szCs w:val="24"/>
        </w:rPr>
        <w:t xml:space="preserve">O / Cl</w:t>
      </w:r>
      <w:r>
        <w:rPr>
          <w:color w:val="000000"/>
          <w:position w:val="4"/>
          <w:sz w:val="21"/>
          <w:szCs w:val="21"/>
          <w:vertAlign w:val="superscript"/>
        </w:rPr>
        <w:t xml:space="preserve">-</w:t>
      </w:r>
      <w:r>
        <w:rPr>
          <w:color w:val="000000"/>
          <w:sz w:val="24"/>
          <w:szCs w:val="24"/>
        </w:rPr>
        <w:t xml:space="preserve">) compound or its complexes (dhp, pic) and protected amino acid models were also studied by </w:t>
      </w:r>
      <w:r>
        <w:rPr>
          <w:color w:val="000000"/>
          <w:position w:val="4"/>
          <w:sz w:val="21"/>
          <w:szCs w:val="21"/>
          <w:vertAlign w:val="superscript"/>
        </w:rPr>
        <w:t xml:space="preserve">1</w:t>
      </w:r>
      <w:r>
        <w:rPr>
          <w:color w:val="000000"/>
          <w:sz w:val="24"/>
          <w:szCs w:val="24"/>
        </w:rPr>
        <w:t xml:space="preserve">H NMR spectroscopy.</w:t>
      </w:r>
    </w:p>
    <w:p>
      <w:pPr>
        <w:widowControl w:val="on"/>
        <w:pBdr/>
        <w:spacing w:before="240" w:after="240" w:line="240" w:lineRule="auto"/>
        <w:ind w:left="0" w:right="0"/>
        <w:jc w:val="left"/>
      </w:pPr>
      <w:r>
        <w:rPr>
          <w:color w:val="000000"/>
          <w:sz w:val="24"/>
          <w:szCs w:val="24"/>
        </w:rPr>
        <w:br/>
        <w:t xml:space="preserve">[1] O. Dömötör, S. Aicher, M. Schmidlehner, M.S. Novak, A. Roller, M.A. Jakupec, W. Kandioller, C.G. Hartinger, B.K. Keppler, É.A. Enyedy; J. Inorg. Biochem. 134, 57-65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11830">
    <w:multiLevelType w:val="hybridMultilevel"/>
    <w:lvl w:ilvl="0" w:tplc="50018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11830">
    <w:abstractNumId w:val="201118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970371" Type="http://schemas.openxmlformats.org/officeDocument/2006/relationships/numbering" Target="numbering.xml"/><Relationship Id="rId1547ebe08bde92" Type="http://schemas.openxmlformats.org/officeDocument/2006/relationships/image" Target="media/imgrId1547ebe08bde9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