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 PÉTER MÉSZÁROS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Éva A. Enyedy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pharm. Orsolya Dömötör</w:t>
            </w:r>
          </w:p>
          <w:p w:rsidR="00DB4822" w:rsidRDefault="00DB4822" w:rsidP="00BA6BAF">
            <w:pPr>
              <w:pStyle w:val="Konzulensektitulus"/>
            </w:pPr>
            <w:r w:rsidRPr="00DB4822">
              <w:t>junior 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Solution equilibrium studies on RhCp* complexes of (N,N) bidentate ligands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organorhodium;2,2’-bipyridine;ethylenediamine;catalysis;anticancer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Organometallic compounds showed promising results in catalysis and in medicine, especially in anticancer therapy. [RhCp*(H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(pentamethylcyclopentadienylrhodium(III)) forms stable complexes with nitrogen donor ligands which has impact on these two potential application areas.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complex formed with 2,2’-bipyridine (bpy) ([RhCp*(bpy)]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) is well-known in the literature as a hydride transfer which can regenerate coenzymes in aqueous media in situ [1]. Its antitumor activity is as low as the [RhCp*(en)]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’s (en = ethylenediamine) (IC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&gt; 100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16766969" name="name154f61c84cb38f" descr="imgtmp_31837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37_int_1.gif"/>
                    <pic:cNvPicPr/>
                  </pic:nvPicPr>
                  <pic:blipFill>
                    <a:blip r:embed="rId154f61c84cb33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M) although the complexes of phenathroline and larger polypyridil ligands are biologically more active in vitro [2]. Thus the [RhCp*(bpy)]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and [RhCp*(en)]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complexes are regarded as good models of these cytotoxic compounds.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spite of the versatility of complex [RhCp*(bpy)]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its aqueous stability has not measured yet quantitatively. Therefore we have investigated the behaviour of complexes [RhCp*(bpy)]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and [RhCp*(en)]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in aqueous solutions in the presence and in the absence of chloride ions with the combination of pH-potentiometry, UV-vis and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spectroscopy. Moreover we have quantified the water-chloride substitution constants of [RhCp*(L)(H2O)]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complexes.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used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spectroscopy,spectrofluorometry, ESI-MS and ultrafiltration-UV-vis to explore the interaction between these rhodium complexes and human serum albumin, the main blood tranporter protein.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F. Hollmann, B. Witholt, A Schmid, J. Mol. Catal B-Enzym. 19-20 (2003) 167-176.</w:t>
      </w:r>
      <w:r>
        <w:rPr>
          <w:color w:val="000000"/>
          <w:sz w:val="24"/>
          <w:szCs w:val="24"/>
        </w:rPr>
        <w:br/>
        <w:t xml:space="preserve">[2] Y. Geldmacher, M. Oleszak, W. S. Sheldrick, Inorg. Chim. Acta 393 (2012) 84-102.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24934">
    <w:multiLevelType w:val="hybridMultilevel"/>
    <w:lvl w:ilvl="0" w:tplc="30652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24934">
    <w:abstractNumId w:val="12524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541889" Type="http://schemas.openxmlformats.org/officeDocument/2006/relationships/numbering" Target="numbering.xml"/><Relationship Id="rId154f61c84cb33a" Type="http://schemas.openxmlformats.org/officeDocument/2006/relationships/image" Target="media/imgrId154f61c84cb33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