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DOKONPIL VANESSZA</w:t>
            </w:r>
          </w:p>
          <w:p w:rsidR="00C275A3" w:rsidRDefault="00A96AEC" w:rsidP="00C275A3">
            <w:pPr>
              <w:pStyle w:val="Hallgatokepzes"/>
            </w:pPr>
            <w:r>
              <w:t>Anyagmérnök BSc.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Gajda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Matyuska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pirazol-gyűrűkkel szubsztituált TREN-származék átmenetifém komplexeinek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tripodális ligandum; átmenetifém-komplexek; pH-potenciometria; UV-látható spektrofotometria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enzimek vizsgálata bonyolult és nehéz, de működésüknek megértése fontos. A metalloenzimeket modellezhetjük kis molekulatömegű tripodális ligandumok fémkomplexeivel is a könnyebb vizsgálat érdekében. Ezek a ligandumok viszonylag merev szerkezet kialakítására képesek, ami hasonlatos a metatalloenzimek aktív centrumára, valamint polidentát sajátságuk révén képes lehetnek több fémion számára is kötőhelyet kialakítani. Ilyen polidentát tripodális ligandumok lehetnek a TREN (trisz-2-aminoetilamin) N-szubsztituált származékai. Jelen munkámban egy új TREN-származékot, a három pirazol gyűrűt tartalmazó trisz[N-(1H-pirazolil-4-metil)-2-aminoetil]amin (továbbiakban 4’-TPZAA, 1. ábra) előállítását és Mn(II), Fe(II), Co(II), Ni(II), Cu(II) és Zn(II)-ionokkal alkotott komplexeinek oldategyensúlyi viselkedését vizsgáltam</w:t>
      </w:r>
      <w:r>
        <w:rPr>
          <w:color w:val="000000"/>
          <w:sz w:val="24"/>
          <w:szCs w:val="24"/>
        </w:rPr>
        <w:br/>
        <w:t xml:space="preserve">pH-potenciometria és UV-látható spektrofotometria segítségével.</w:t>
      </w:r>
      <w:r>
        <w:rPr>
          <w:color w:val="000000"/>
          <w:sz w:val="24"/>
          <w:szCs w:val="24"/>
        </w:rPr>
        <w:br/>
        <w:t xml:space="preserve"> </w:t>
      </w:r>
      <w:r>
        <w:rPr>
          <w:color w:val="000000"/>
          <w:sz w:val="24"/>
          <w:szCs w:val="24"/>
        </w:rPr>
        <w:drawing>
          <wp:inline distT="0" distB="0" distL="0" distR="0">
            <wp:extent cx="1288800" cy="1533600"/>
            <wp:docPr id="14605881" name="name154e712a4db14a" descr="imgtmp_31840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840_hu_1.JPG"/>
                    <pic:cNvPicPr/>
                  </pic:nvPicPr>
                  <pic:blipFill>
                    <a:blip r:embed="rId154e712a4db0e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800" cy="153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br/>
        <w:t xml:space="preserve">A ligandum MHL, ML és MH</w:t>
      </w:r>
      <w:r>
        <w:rPr>
          <w:color w:val="000000"/>
          <w:position w:val="-4"/>
          <w:sz w:val="21"/>
          <w:szCs w:val="21"/>
          <w:vertAlign w:val="subscript"/>
        </w:rPr>
        <w:t xml:space="preserve">-1</w:t>
      </w:r>
      <w:r>
        <w:rPr>
          <w:color w:val="000000"/>
          <w:sz w:val="24"/>
          <w:szCs w:val="24"/>
        </w:rPr>
        <w:t xml:space="preserve">L összetételű komplexeket képez a kobalt(II)-, nikkel(II)-, réz(II)- és cink(II)-ionokkal (logK(ML) = 8,90; 9,61; 15,84; 10,64 rendre), ami nagy hasonlóságot mutat a TREN és a kutatócsoportban korábban vizsgált trisz[N-(piridil-3-metil)-2-aminoetil]amin (3’-TPAA) viselkedésével. A komplexek stabilitása és a Cu(II) és Co(II) tartalmú részecskék jellegzetes látható spektruma 4N-es, trigonális bipiramisos szerkezetre utal, így a pirazol nitrogének nem vesznek részt a koordinációban. Többmagvú komplex képződését csak réz(II) jelenlétében tapasztaltuk. A [Cu(II)]:[L]=1:1 arányú mintánál igen alacsony pH-n (~3-4) kék színű csapadék jelent meg, ami visszaszorítható a ligandumfelesleg alkalmazásával. A csapadék semmilyen közönséges oldószerben nem volt oldható, ami pirazolát-hidakkal összekötött polimer szerkezetre utal. Hasonló jelenséget tapasztaltunk pH 7 körül vas(II) jelenlétében is.</w:t>
      </w:r>
      <w:r>
        <w:rPr>
          <w:color w:val="000000"/>
          <w:sz w:val="24"/>
          <w:szCs w:val="24"/>
        </w:rPr>
        <w:br/>
        <w:t xml:space="preserve">A 4’-TPZAA komplexeit összehasonlítva a TREN hasonló komplexeivel megállapíthatjuk, hogy előbbi bázicitással korrigált stabilitási állandói mintegy két nagyságrenddel nagyobbak. Ennek oka feltehetően a gyűrűk közötti π-stacking vagy vízen keresztüli H-hidas stabilizáló kölcsönhatás lehet.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49160">
    <w:multiLevelType w:val="hybridMultilevel"/>
    <w:lvl w:ilvl="0" w:tplc="15680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49160">
    <w:abstractNumId w:val="141491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3542658" Type="http://schemas.openxmlformats.org/officeDocument/2006/relationships/numbering" Target="numbering.xml"/><Relationship Id="rId154e712a4db0eb" Type="http://schemas.openxmlformats.org/officeDocument/2006/relationships/image" Target="media/imgrId154e712a4db0eb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