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VANESSZA DOKONPIL</w:t>
            </w:r>
          </w:p>
          <w:p w:rsidR="00C275A3" w:rsidRDefault="00A96AEC" w:rsidP="00C275A3">
            <w:pPr>
              <w:pStyle w:val="Hallgatokepzes"/>
            </w:pPr>
            <w:r>
              <w:t>Material engineer BSc.</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Gajda</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Ferenc Matyuska</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transition metal complexes of a pyrazole-substituted tripodal TREN-derivative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Tripodal ligand; transition metal complexes; pH-potentiometry; UV-visible spectrophotometry</w:t>
      </w:r>
      <w:r>
        <w:t xml:space="preserve"/>
      </w:r>
    </w:p>
    <w:p>
      <w:pPr>
        <w:widowControl w:val="on"/>
        <w:pBdr/>
        <w:spacing w:before="240" w:after="240" w:line="240" w:lineRule="auto"/>
        <w:ind w:left="0" w:right="0"/>
        <w:jc w:val="left"/>
      </w:pPr>
      <w:r>
        <w:rPr>
          <w:color w:val="000000"/>
          <w:sz w:val="24"/>
          <w:szCs w:val="24"/>
        </w:rPr>
        <w:t xml:space="preserve">One approach to metalloenzyme modelling is the use of tripodal ligands. These type of ligands usually possess relatively rigid structure, which resembles the active centres of many metalloenzymes, and their polydentate nature may enable the binding of several metal ions. The N-substituted derivatives of the tripodal platform TREN (tris-2-aminoethylamine) are probably good candidates for such purposes.</w:t>
      </w:r>
      <w:r>
        <w:rPr>
          <w:color w:val="000000"/>
          <w:sz w:val="24"/>
          <w:szCs w:val="24"/>
        </w:rPr>
        <w:br/>
        <w:t xml:space="preserve">In the present work I report the synthesis and characterisation of a novel pyrazole-substituted tripodal ligand, 4’-TPZAA (tris[N-(1H-pyrazolyl-4-methyl)-2-aminoethyl]amine, Figure 1.) and it’s transition metal complexes. The investigated metal ions were the following: Mn(II), Fe(II), Co(II), Ni(II), Cu(II) and Zn(II). For the characterisation of these complexes pH-potentiometry and UV-Vis spectrophotometry were applied.</w:t>
      </w:r>
    </w:p>
    <w:p>
      <w:pPr>
        <w:widowControl w:val="on"/>
        <w:pBdr/>
        <w:spacing w:before="240" w:after="240" w:line="240" w:lineRule="auto"/>
        <w:ind w:left="0" w:right="0"/>
        <w:jc w:val="left"/>
      </w:pPr>
      <w:r>
        <w:rPr>
          <w:color w:val="000000"/>
          <w:sz w:val="24"/>
          <w:szCs w:val="24"/>
        </w:rPr>
        <w:drawing>
          <wp:inline distT="0" distB="0" distL="0" distR="0">
            <wp:extent cx="1288800" cy="1533600"/>
            <wp:docPr id="63551403" name="name15480787683a69" descr="imgtmp_3184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840_int_1.gif"/>
                    <pic:cNvPicPr/>
                  </pic:nvPicPr>
                  <pic:blipFill>
                    <a:blip r:embed="rId15480787683a07" cstate="print"/>
                    <a:stretch>
                      <a:fillRect/>
                    </a:stretch>
                  </pic:blipFill>
                  <pic:spPr>
                    <a:xfrm>
                      <a:off x="0" y="0"/>
                      <a:ext cx="1288800" cy="1533600"/>
                    </a:xfrm>
                    <a:prstGeom prst="rect">
                      <a:avLst/>
                    </a:prstGeom>
                    <a:ln w="0">
                      <a:noFill/>
                    </a:ln>
                  </pic:spPr>
                </pic:pic>
              </a:graphicData>
            </a:graphic>
          </wp:inline>
        </w:drawing>
      </w:r>
      <w:r>
        <w:rPr>
          <w:color w:val="000000"/>
          <w:sz w:val="24"/>
          <w:szCs w:val="24"/>
        </w:rPr>
        <w:br/>
        <w:t xml:space="preserve">Our ligand forms MHL, ML and MH-1L composition complexes with cobalt(II)-, nickel(II)-, copper(II)-, and zinc(II)-ions (logK(ML) = 8,90, 9,61, 15,84, 10,64 respectively). The stability of the complexes indicate tetradentate corrdination of the ligand in all ML and MH-1L complexes. The characteristic UV-Vis spectra of the Cu(II) and Co(II) complexes indicate trigonal bipyramidal structure. Only unsoluble multinuclear complexes were only observed for copper(II) and iron(II). At [Cu(II)]:[L]=1:1 ratio and at low pH (~3-4) blue precipitate formed, whis was not observed in the presence of ligand excess. This precipitate wasn’t dissolvable in any common solvent, and that indicates the formation of a pyrazole-bridged polimer structure. Similar phenomenon was experienced with iron(II) around pH=7.</w:t>
      </w:r>
      <w:r>
        <w:rPr>
          <w:color w:val="000000"/>
          <w:sz w:val="24"/>
          <w:szCs w:val="24"/>
        </w:rPr>
        <w:br/>
        <w:t xml:space="preserve">Comparing the basicity corrected stability constants of 4’-TPZAA complexes with those of the corresponding TREN species, it can be noted that our ligand forms two orders of magnitude more stable complexes. This can be attributed to the possible π-stacking or (water-bridged) H-bonding interaction between the pyrazole rings, which stabilize the structure of 4’-TPZAA complexes.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53853">
    <w:multiLevelType w:val="hybridMultilevel"/>
    <w:lvl w:ilvl="0" w:tplc="69297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53853">
    <w:abstractNumId w:val="39753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241494" Type="http://schemas.openxmlformats.org/officeDocument/2006/relationships/numbering" Target="numbering.xml"/><Relationship Id="rId15480787683a07" Type="http://schemas.openxmlformats.org/officeDocument/2006/relationships/image" Target="media/imgrId15480787683a0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