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SWIDERSKI</w:t>
            </w:r>
          </w:p>
          <w:p w:rsidR="00C275A3" w:rsidRDefault="00A96AEC" w:rsidP="00C275A3">
            <w:pPr>
              <w:pStyle w:val="Hallgatokepzes"/>
            </w:pPr>
            <w:r>
              <w:t>Social Pedagogy</w:t>
            </w:r>
            <w:r>
              <w:br/>
            </w:r>
            <w:r w:rsidR="00E77B23">
              <w:t>BA, 7. semester</w:t>
            </w:r>
          </w:p>
          <w:p w:rsidR="00C265CE" w:rsidRPr="009E5FF1" w:rsidRDefault="00E77B23" w:rsidP="009763E0">
            <w:pPr>
              <w:pStyle w:val="Hallgatointezmeny-kar"/>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Zsolt Soos</w:t>
            </w:r>
          </w:p>
          <w:p w:rsidR="00DB4822" w:rsidRDefault="00DB4822" w:rsidP="009763E0">
            <w:pPr>
              <w:pStyle w:val="Konzulensektitulus"/>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Special services in County Fejér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Special (urban- and farm family care) services are amongst the primary social services of the local governments. Their task is to minimize the disadvantageous situation of those living in villages, farms and other peripheries and outskirts.</w:t>
      </w:r>
      <w:r>
        <w:rPr>
          <w:color w:val="000000"/>
          <w:sz w:val="24"/>
          <w:szCs w:val="24"/>
        </w:rPr>
        <w:br/>
        <w:t xml:space="preserve">In my survey I introduce five family care services of County Fejér and the social position and difficulties of the areas to be served. I show some data related to the operation of the services and their position within the social net.</w:t>
      </w:r>
      <w:r>
        <w:rPr>
          <w:color w:val="000000"/>
          <w:sz w:val="24"/>
          <w:szCs w:val="24"/>
        </w:rPr>
        <w:br/>
        <w:t xml:space="preserve">I have analyzed all the available activity logs. These clearly demonstrate the different role and utilization of each individual service. I have sought answers to the questions that where is the position of each given service within the framework of the social profession, if it accomplishes the role that is prescribed by the relevant regulations and what efficiency it embodies.</w:t>
      </w:r>
      <w:r>
        <w:rPr>
          <w:color w:val="000000"/>
          <w:sz w:val="24"/>
          <w:szCs w:val="24"/>
        </w:rPr>
        <w:br/>
        <w:t xml:space="preserve">My research tools included personal observations, interviews and document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55609">
    <w:multiLevelType w:val="hybridMultilevel"/>
    <w:lvl w:ilvl="0" w:tplc="33789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55609">
    <w:abstractNumId w:val="524556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8741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