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VANKÓ</w:t>
            </w:r>
          </w:p>
          <w:p w:rsidR="00C275A3" w:rsidRDefault="00A96AEC" w:rsidP="00C275A3">
            <w:pPr>
              <w:pStyle w:val="Hallgatokepzes"/>
            </w:pPr>
            <w:r>
              <w:t>Primary School Teaching</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Gál</w:t>
            </w:r>
          </w:p>
          <w:p w:rsidR="00DB4822" w:rsidRDefault="00DB4822" w:rsidP="00E11062">
            <w:pPr>
              <w:pStyle w:val="Konzulensek"/>
            </w:pPr>
            <w:r w:rsidRPr="00DB4822">
              <w:t>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Tragedy of Man - another tragedy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Tragedy of Man is –without any doubts – a masterpiece, so a multi-faceted approach is not only possible but also necessary, also, its certain areas such as its literary, philosophical, sociological, theological analysis is diverse and constantly actualizing.</w:t>
      </w:r>
      <w:r>
        <w:rPr>
          <w:color w:val="000000"/>
          <w:sz w:val="24"/>
          <w:szCs w:val="24"/>
        </w:rPr>
        <w:br/>
        <w:t xml:space="preserve">The only aim of my short thesis is to point out one of this masterpiece’s not yet properly discussed perspective in which the decisions, motivations, characters of the roles are shown in a different point of view, thus presenting another tragedy.</w:t>
      </w:r>
      <w:r>
        <w:rPr>
          <w:color w:val="000000"/>
          <w:sz w:val="24"/>
          <w:szCs w:val="24"/>
        </w:rPr>
        <w:br/>
        <w:t xml:space="preserve">Depreciation, the ’I don’t know and I don’t even care’ attitude, the reliability of the faith and the knowledge becomes problematic. This matter would have been suitable for other literary or philosophical work too - through the writings of Nietzsche, Goethe’s Faust and the countless paragons of the old and the new age writers, I still chose The Tragedy of Man.</w:t>
      </w:r>
      <w:r>
        <w:rPr>
          <w:color w:val="000000"/>
          <w:sz w:val="24"/>
          <w:szCs w:val="24"/>
        </w:rPr>
        <w:br/>
        <w:t xml:space="preserve">To me, the actuality of Madách’s writing is given by a constant sense of crisis which we perceive in our lives from day to day, the same can be observed through the scenes. The questions of the writer are: Is the soul immortal? Is a person free? Is a person improving? Is my seed proceeding forward? are still actual, ’Food for Thought’ however the answers given can cause debates. Yet, these debates aren’t pointless, more and more recent content analyses have established a reasonable picture of the tragedy in every generation.</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29401">
    <w:multiLevelType w:val="hybridMultilevel"/>
    <w:lvl w:ilvl="0" w:tplc="18641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29401">
    <w:abstractNumId w:val="91529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804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