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REGINA URBÁN</w:t>
            </w:r>
          </w:p>
          <w:p w:rsidR="00C275A3" w:rsidRDefault="00A96AEC" w:rsidP="00C275A3">
            <w:pPr>
              <w:pStyle w:val="Hallgatokepzes"/>
            </w:pPr>
            <w:r>
              <w:t>Recreation and Health Improvement Manager</w:t>
            </w:r>
            <w:r>
              <w:br/>
            </w:r>
            <w:r w:rsidR="00E77B23">
              <w:t>BA, 5. semester</w:t>
            </w:r>
          </w:p>
          <w:p w:rsidR="00C265CE" w:rsidRPr="009E5FF1" w:rsidRDefault="00E77B23" w:rsidP="00BA6BAF">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Ferenc Ihász</w:t>
            </w:r>
          </w:p>
          <w:p w:rsidR="00DB4822" w:rsidRDefault="00DB4822" w:rsidP="00BA6BAF">
            <w:pPr>
              <w:pStyle w:val="Konzulensektitulus"/>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Disadvantaged adolescents, body composition and cardiovascular characteristics of the analysis at rest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Cumulatively Disadvantaged Child, Pulse Pressure, Abdominal Cavity Surface Fat</w:t>
      </w:r>
      <w:r>
        <w:t xml:space="preserve"/>
      </w:r>
    </w:p>
    <w:p>
      <w:pPr>
        <w:widowControl w:val="on"/>
        <w:pBdr/>
        <w:spacing w:before="240" w:after="240" w:line="240" w:lineRule="auto"/>
        <w:ind w:left="0" w:right="0"/>
        <w:jc w:val="left"/>
      </w:pPr>
      <w:r>
        <w:rPr>
          <w:color w:val="000000"/>
          <w:sz w:val="24"/>
          <w:szCs w:val="24"/>
        </w:rPr>
        <w:t xml:space="preserve">Until 31 august 2013 the concept of the disadvantaged, and the cumulatively disadvantaged child was stated by the public education act LXXIX. §121 of year 1993, which says: a disadvantaged child or student is whom the notary takes under protection in base of his/her family circumstances, social position and/or whoes protection discount entitlement has been established by the notary. We have run tests with a cumulatively disadvantaged (n=26); (15.19±1.26) year old boy. We measured blood pressure and body consistence in tranquil conditions. We counted pulse pressure (PP) and qualified them. In the view of the fat - muscle rate, we found the sample homogeneous, while the abdominal cavity's surface fat gave concerning results. The rested systole pressure average closes a 130 Hgmm, the edges varied between (95-196 Hgmm). The diastolic pressure is increasing continuously accordingly with age and at the end of adolescence shows critical value. It seems, that a long existing frustration in the family and in the community of children significantly jeopardizes the cumulatively disadvantaged children, which can result directly as high blood pressure also in this (young) 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52119">
    <w:multiLevelType w:val="hybridMultilevel"/>
    <w:lvl w:ilvl="0" w:tplc="29380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52119">
    <w:abstractNumId w:val="666521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405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