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KŐMÜVES BARBARA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érdekviták jellemzői, valamint azok alternatív megoldásának lehetőségei a magyar munkajog 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kollektív munkajog alanyai köré épül fel, azon belül a köztük kialakulható érdekviták megelőzése, azok megoldása állt a kutatásom középpontjában. Munkámban elsősorban arra a kérdésre keresetem a választ, hogy a kollektív munkajog szereplői között mennyire lehet hatékony az érdekegyeztetés a mai magyar munkajog rendszerben, illetve milyen előnyöket biztosít számukra az alternatív vitafeloldási rendszerek választása a kialakult érdekviták esetében.</w:t>
      </w:r>
      <w:r>
        <w:rPr>
          <w:color w:val="000000"/>
          <w:sz w:val="24"/>
          <w:szCs w:val="24"/>
        </w:rPr>
        <w:br/>
        <w:t xml:space="preserve">A dolgozatban különös hangsúlyt kap az érdekviták elemzése, mely kiterjed az abban résztvevő felektől kezdve a vita tárgyán át a felek számára kedvező megoldási javaslatokig. A munkaügyi viták vizsgálatának középpontjában az a kérdés állt, hogy érdekviták esetén a törvény adta lehetőségek hatékonyan biztosítják-e a vitában álló felek számára a gyors és békés megegyezés lehetőségét.</w:t>
      </w:r>
      <w:r>
        <w:rPr>
          <w:color w:val="000000"/>
          <w:sz w:val="24"/>
          <w:szCs w:val="24"/>
        </w:rPr>
        <w:br/>
        <w:t xml:space="preserve">Számos hazai, valamint nemzetközi szakirodalmat, cikket, tanulmányt, valamint összehasonlító elemzést feldolgozva egyrészt arra a következtetésre jutottam, a hazai szakirodalom nem ad átfogó képet a munkaügyi viták szabályozása kapcsán, véleményem szerint sok esetben csupán a törvény értelmezésével találkozhat az olvasó. Másrészt, annak ellenére, hogy a Munka törvénykönyve rendelkezik alternatív vitamegoldási lehetőségekről, a szabályozás a munkaügyi viták megoldását nem támogatja, mivel a törvény alkalmazása során számos eljárási akadály, kérdés merülhet fel. A törvény nem számol továbbá azzal, hogy a szociális partnerek egy része nem rendelkezik megfelelő vitakezelő fórummal, így számukra marad a bírói eljárás. Ezen hiányosságokat figyelembe véve a dolgozatban javaslatokat tettem a törvényi szabályozás hiányosságainak kiküszöbölésére.</w:t>
      </w:r>
      <w:r>
        <w:rPr>
          <w:color w:val="000000"/>
          <w:sz w:val="24"/>
          <w:szCs w:val="24"/>
        </w:rPr>
        <w:br/>
        <w:t xml:space="preserve">Bizakodom abban, hogy aki górcső alá veszi az Mt. szabályozást, illetve a dolgozat megállapításait, hasonló végeredményre jut a téma kapcsán.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15891">
    <w:multiLevelType w:val="hybridMultilevel"/>
    <w:lvl w:ilvl="0" w:tplc="97764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15891">
    <w:abstractNumId w:val="876158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908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