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KŐMÜVES</w:t>
            </w:r>
          </w:p>
          <w:p w:rsidR="00C275A3" w:rsidRDefault="00A96AEC" w:rsidP="00C275A3">
            <w:pPr>
              <w:pStyle w:val="Hallgatokepzes"/>
            </w:pPr>
            <w:r>
              <w:t>Faculty of Law</w:t>
            </w:r>
            <w:r>
              <w:br/>
            </w:r>
            <w:r w:rsidR="00E77B23">
              <w:t>Unified, 9.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György Nádas</w:t>
            </w:r>
          </w:p>
          <w:p w:rsidR="00DB4822" w:rsidRDefault="00DB4822" w:rsidP="00E11062">
            <w:pPr>
              <w:pStyle w:val="Konzulensek"/>
            </w:pPr>
            <w:r w:rsidRPr="00DB4822">
              <w:t>associate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Features of Disputes and the Alternative Methods of Resolving them in Hungarian Labour Law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my thesis is built on the subjects of labour law focusing on the prevention and resolution of the disputes emerging between them.</w:t>
      </w:r>
      <w:r>
        <w:rPr>
          <w:color w:val="000000"/>
          <w:sz w:val="24"/>
          <w:szCs w:val="24"/>
        </w:rPr>
        <w:br/>
        <w:t xml:space="preserve">I tried to detect how effective is the conciliation of interests in the system of Hugarian labour law, and what advantages are guaranteed for the subjects by choosing one of the alternative methods of dispute resolution.</w:t>
      </w:r>
      <w:r>
        <w:rPr>
          <w:color w:val="000000"/>
          <w:sz w:val="24"/>
          <w:szCs w:val="24"/>
        </w:rPr>
        <w:br/>
        <w:t xml:space="preserve">Special emphasis is put on the analysis of legal disputes, the concerned parties , the object of the disputes and the suggested resolutions, being advantageous for both parties.</w:t>
      </w:r>
      <w:r>
        <w:rPr>
          <w:color w:val="000000"/>
          <w:sz w:val="24"/>
          <w:szCs w:val="24"/>
        </w:rPr>
        <w:br/>
        <w:t xml:space="preserve">The analysis of the labour disputes tried to answer the question if fast and amicable settlement is ensured by the law for the parties.</w:t>
      </w:r>
      <w:r>
        <w:rPr>
          <w:color w:val="000000"/>
          <w:sz w:val="24"/>
          <w:szCs w:val="24"/>
        </w:rPr>
        <w:br/>
        <w:t xml:space="preserve">After examining a large number of Hungarian and international scientific publications, articles, studies,comparative analyses I could draw the conclusion that these interpret the law instead of giving comprehensive picture about the regulation of labour disputes.</w:t>
      </w:r>
      <w:r>
        <w:rPr>
          <w:color w:val="000000"/>
          <w:sz w:val="24"/>
          <w:szCs w:val="24"/>
        </w:rPr>
        <w:br/>
        <w:t xml:space="preserve">Furthermore, inspite of the fact that the Labour and Employment Law Book contains alternative methods of dispute resolution, the regulation does not support the resolution on labour disputes, because a large number of handicaps can emerge during the legal proceeding. The law does not take into consideration that some of the parties do not have any means of settling disputes outside of the courtroom, so their only possibility is to turn to the official judicial mechanism.</w:t>
      </w:r>
      <w:r>
        <w:rPr>
          <w:color w:val="000000"/>
          <w:sz w:val="24"/>
          <w:szCs w:val="24"/>
        </w:rPr>
        <w:br/>
        <w:t xml:space="preserve">I do hope that after analysing the Labour and Employment Law Book and the findings of my thesis, similar coclusions can be drawn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505272">
    <w:multiLevelType w:val="hybridMultilevel"/>
    <w:lvl w:ilvl="0" w:tplc="940963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505272">
    <w:abstractNumId w:val="225052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62758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