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SZENDRŐI ANNA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Nádas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munkavállaló személyhez fűződő jogai és azok korlátozhatósága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 indoka elsősorban a személyhez fűződő jogok védelmének örök aktualitásában rejlik. Az emberi személyiség a modern jogrendszerek alapvető értéke, a jogi szabályozások elsődleges célja az eszmei értelemben vett egyre gazdagabb emberi személyiség önmegvalósítása.</w:t>
      </w:r>
      <w:r>
        <w:rPr>
          <w:color w:val="000000"/>
          <w:sz w:val="24"/>
          <w:szCs w:val="24"/>
        </w:rPr>
        <w:br/>
        <w:t xml:space="preserve">A személyhez fűződő jogok védelme nem képzelhető el csupán a polgári jog klasszikus védelmi rendszerének keretén belül: a személyiségvédelmet minden egyes jogágban – így a munkajogban is - meg kell valósítani.</w:t>
      </w:r>
      <w:r>
        <w:rPr>
          <w:color w:val="000000"/>
          <w:sz w:val="24"/>
          <w:szCs w:val="24"/>
        </w:rPr>
        <w:br/>
        <w:t xml:space="preserve">Alappal merülhet fel bennünk a kérdés, hogy a munkaviszony erősen hierarchizált jellegéből fakadóan hogyan értelmezhetők, s milyen mértékben érvényesülhetnek a személyhez fűződő jogok. Anélkül, hogy a személyiségi jogok katalógusát a teljesség igényével végiglapoztam volna, dolgozatomban a munkajog világában kiemelt jelentőséggel bíró személyhez fűződő jogok bemutatására törekedtem, s bírósági esetjogon keresztül mutattam be érvényesülésük mikéntjét. Ezen felül a munkáltatót a munkaviszony természetéből eredően megillető jogok és a munkavállaló személyhez fűződő jogainak ütközése alapján arra kerestem a választ, hogy hol húzódik e jogok érvényesülésének határa.</w:t>
      </w:r>
      <w:r>
        <w:rPr>
          <w:color w:val="000000"/>
          <w:sz w:val="24"/>
          <w:szCs w:val="24"/>
        </w:rPr>
        <w:br/>
        <w:t xml:space="preserve">Vizsgálódásom legfontosabb célja az volt, hogy feltérképezzem azon modern kori kihívásokat, melyekkel a 21. század munkavállalóinak szembe kell nézniük. Ellenőrizheti-e a munkáltató a munkavállalók elektronikus postafiókját? Megfigyelheti-e őket munkahelyi kamerák alkalmazása útján? Ezen kérdésekre a választ elsősorban a bírói joggyakorlat áttekintése útján próbáltam megadni, majd nemzetközi kitekintés segítségével a magyar joggyakorlat európai tendenciákkal történő összehasonlítását kíséreltem meg.</w:t>
      </w:r>
      <w:r>
        <w:rPr>
          <w:color w:val="000000"/>
          <w:sz w:val="24"/>
          <w:szCs w:val="24"/>
        </w:rPr>
        <w:br/>
        <w:t xml:space="preserve">Az egyes jogok elemzését követően összegeztem, hogy a vizsgált jogesetek alapján mennyire valósítja meg a magyar szabályozás a munkajogi személyiségvédelem aktív és passzív oldalát.</w:t>
      </w:r>
      <w:r>
        <w:rPr>
          <w:color w:val="000000"/>
          <w:sz w:val="24"/>
          <w:szCs w:val="24"/>
        </w:rPr>
        <w:br/>
        <w:t xml:space="preserve">Alaptézisem - mely szerint a személyhez fűződő jogok a munkajog világában is (a hierarchizált jogviszony és az egzisztenciális erőeltolódás ellenére) kimagasló szereppel bírnak - megerősítést nyert. Ennek ellenére be kellett látnom azt, hogy a személyiségi jogok szabályozásának teljességére való törekvés illúzió, megvalósíthatatlan feladat lenne csupán. A személyiségi jog megsértésének esetei ugyanis legalább olyan egyediek és sokszínűek, mint az ember maga. A törvények kijelölhetik a szabályozás kereteit, álláspontom szerint azonban az egyes jogok tartalmának kitöltése a bírói jogértelmező és jogfejlesztő tevékenységre hárul.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299798">
    <w:multiLevelType w:val="hybridMultilevel"/>
    <w:lvl w:ilvl="0" w:tplc="46638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299798">
    <w:abstractNumId w:val="632997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61068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