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SZABO</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Attila Tóth</w:t>
            </w:r>
          </w:p>
          <w:p w:rsidR="00DB4822" w:rsidRDefault="00DB4822" w:rsidP="00E11062">
            <w:pPr>
              <w:pStyle w:val="Konzulensek"/>
            </w:pPr>
            <w:r w:rsidRPr="00DB4822">
              <w:t>associate professor, head of department,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dimension of asylum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Literature on asylum deals mostly with the process of asylum seeking (about the decision of asylum, and the circumstances of asylum seekers). But beyond the decision there is a substantive side of the asylum. I present the substantive and social side of asylum in my paper, for this I compare theoretical categories and legal cases. In the first chapter I expound the key concepts and the main international law norms, in the second chapter I survey the Hungarian constitutional and legal regulations, in the third chapter I examine the case law of the European Court of Human Rights, in the fourth chapter I discuss three decisions of the German constitutional practice. I point out that there are several controversial basic law issues in Hungarian regulation regarding the provision and integration of refugees.</w:t>
      </w:r>
      <w:r>
        <w:rPr>
          <w:color w:val="000000"/>
          <w:sz w:val="24"/>
          <w:szCs w:val="24"/>
        </w:rPr>
        <w:br/>
        <w:t xml:space="preserve">My main assertion is that a personalized minimal social caring is an integral part of the substantive side of asylum. In its absence such existential situations may occur which can be qualified as inhuman treatment or in a more general sense: violation of human dignity.</w:t>
      </w:r>
      <w:r>
        <w:rPr>
          <w:color w:val="000000"/>
          <w:sz w:val="24"/>
          <w:szCs w:val="24"/>
        </w:rPr>
        <w:br/>
        <w:t xml:space="preserve">In the end of my work I summarize the essence of the paper which could be enlisted as the following. 1. Asylum necessarily has a substantive side. 2. The social dimension has an outstanding role in the substantive side. 3. The social dimension can only fulfill its role if no one is in an inhuman situation. 4. As refugees always form a vulnerable group the member states share an increased responsibility in helping them. 5. If it does not take place or takes place in an improper way there is a good chance that human dignity is violated. 6. The violation of human dignity is also qualified as inhuman treatment or torture over a certain level. 7. A given state is responsible for this if by legislation it does not fulfill its duties arising from the Charter of Fundamental Rights of the European Union as well as the European Convention of Human Rights. 8. Hungary undertakes a great danger as the current regulation does not take the real risks of the life of refugees and the disadvantages suffered by them into consideration.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75630">
    <w:multiLevelType w:val="hybridMultilevel"/>
    <w:lvl w:ilvl="0" w:tplc="80378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75630">
    <w:abstractNumId w:val="18375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9966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