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IZABELLA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Gábor Attila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Vallásszabadság ma Magyarországon - Alapjog vagy kiváltság?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vallásszabadság aktuális magyarországi problémáit vizsgálom. Az elemzés fókuszában az Alaptörvény és a lelkiismereti és vallásszabadság jogáról, valamint az egyházak, vallásfelekezetek és vallási közösségek jogállásáról szóló 2011. évi CCVI törvény áll, amely Magyarország közjogi átalakulásának forgatagában sok más sarkalatos törvény mellett született meg.</w:t>
      </w:r>
      <w:r>
        <w:rPr>
          <w:color w:val="000000"/>
          <w:sz w:val="24"/>
          <w:szCs w:val="24"/>
        </w:rPr>
        <w:br/>
        <w:t xml:space="preserve">Felvázolom a vallásszabadság alapjogának, a semlegesség elvének és a diszkrimináció tilalmának egy demokratikus jogállamban elvárt kereteit. Áttekintem a törvény megalkotásának indokait, az elérni kívánt célokat, a törvény problematikusnak vélt elemeit, a megváltozott jogállásokhoz kapcsolódó jogosultságokat. és mindezekre rávetítettem. Mérceként szolgált továbbá az Emberi Jogok Európai Bíróságának esetjogában a lelkiismereti és vallásszabadság jogának érvényesülése érdekében kimunkált, alapelveknek tekinthető európai minimum.</w:t>
      </w:r>
      <w:r>
        <w:rPr>
          <w:color w:val="000000"/>
          <w:sz w:val="24"/>
          <w:szCs w:val="24"/>
        </w:rPr>
        <w:br/>
        <w:t xml:space="preserve">Végkövetkeztetésem megkérdőjelezi, hogy az egyházakat érintő alkotmányos átalakulást megtestesítő törvény szellemében beszélhetünk-e mindenkit megillető vallásszabadságról ma Magyarországon. Megítélésem szerint a vallásszabadság jelenleg nem alapjogként funkcionál, sokkal inkább egy kiváltság. Ennek a többletminőségnek a megszerzése látszólagos objektív feltételekhez kötött, de valójában ezen feltételek nagy része szubjektív megítélés alá esik. Vizsgálódásom eredményeként kifejezetten egy új törvény szükségessége mellett érvelek, amelynek nagy hangsúlyt kellene fektetnie a Velencei Bizottság véleményére, az Alkotmánybíróság határozataiban és az Emberi Jogok Európai Bíróságának ítéletében megjelenő elvekre, valamint az állam és egyház elválasztására. A valódi megoldást tehát abban látom, hogy a vallási-hitéleti kérdéseket indokolt külön választani a finanszírozási kérdésektől, mert a mostani szabályozás átláthatatlan és diszkriminatív.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70354">
    <w:multiLevelType w:val="hybridMultilevel"/>
    <w:lvl w:ilvl="0" w:tplc="14115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70354">
    <w:abstractNumId w:val="84170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277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