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IZABELLA DEÁK</w:t>
            </w:r>
          </w:p>
          <w:p w:rsidR="00C275A3" w:rsidRDefault="00A96AEC" w:rsidP="00C275A3">
            <w:pPr>
              <w:pStyle w:val="Hallgatokepzes"/>
            </w:pPr>
            <w:r>
              <w:t>Degree in Public Administration Management</w:t>
            </w:r>
            <w:r>
              <w:br/>
            </w:r>
            <w:r w:rsidR="00E77B23">
              <w:t>BSc, 5.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Attila Tóth</w:t>
            </w:r>
          </w:p>
          <w:p w:rsidR="00DB4822" w:rsidRDefault="00DB4822" w:rsidP="00E11062">
            <w:pPr>
              <w:pStyle w:val="Konzulensek"/>
            </w:pPr>
            <w:r w:rsidRPr="00DB4822">
              <w:t>associate professor and head of department,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Religious freedom in Hungary - a fundamental right or a privilege?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paper I study the problems of the freedom of religion in Hungary. The focus of my analysis is the Constitution and the Act CCVI of 2011 On the Right to Freedom of Conscience and Religion and the Legal Status of Churches, Denominations and Religious Communities which was made in conjunction with many other cardinal laws in the period of the transformation of public law in Hungary.</w:t>
      </w:r>
      <w:r>
        <w:rPr>
          <w:color w:val="000000"/>
          <w:sz w:val="24"/>
          <w:szCs w:val="24"/>
        </w:rPr>
        <w:br/>
        <w:t xml:space="preserve">I will provide an outline of the frames of the fundamental right of freedom of religion, the principle of neutrality and the prohibition of discrimination that are expected in a democratic constitutional state. I will also give a review about the causes of creating this law, the desired goals, the problematic elements of the law, the entitlements connected to the changed legal status, and I will also reflect on these topics. Another additional standard was the European minimum in the case-law of the European Court of Human Rights which was made in order for the right to freedom of conscience and religion to predominate, and which can be considered as a fundamental right.</w:t>
      </w:r>
      <w:r>
        <w:rPr>
          <w:color w:val="000000"/>
          <w:sz w:val="24"/>
          <w:szCs w:val="24"/>
        </w:rPr>
        <w:br/>
        <w:t xml:space="preserve">My conclusion questions whether we can say that everyone is entitled to the freedom of religion nowadays in Hungary with regard to the law that incorporates the constitutional transformation churches are affected by. In my opinion the freedom of religion currently does not function as a fundamental right, it is more like a privilege. Acquiring this additional quality has some apparently objective conditions but in fact most of these conditions can be considered discretional. As a result of my investigation I am definitely for the creation of a new law which should have a great emphasis on the principles present in the opinion of the Venice Commission, the decisions of the Constitutional Court and the judgment of the European Court of Human Rights, as well as on the separation of state and church. Therefore as far as I am concerned, I think the real solution would be the reasonable separation of the questions of religion and religious life and the questions of financing since the current regulation is chaotic and discriminative.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193993">
    <w:multiLevelType w:val="hybridMultilevel"/>
    <w:lvl w:ilvl="0" w:tplc="164407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193993">
    <w:abstractNumId w:val="811939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66241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