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SZABÓ</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Krisztián Szabó</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Press and Publicity in Criminal Procedures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interesting questions for the public is how courts work and deal the most important cases. On the other hand, the man in the street uses the media as his source of information concerning these cases instead of his personal appearance in the hearings. According to the legal regulations in Hungary, several acts and regulations shall be mentioned concerning the rights and duties of the media (e.g. the Base Law, the Code of Criminal Procedure, the Code of Civil Procedure, Act on Media Services and Mass Media, Act on the Freedom of the Press and the Fundamental Rules of Media Content). However, it can be stated that because of the lots of different legal sources, we cannot speak about well and strictly defined terms in connection with the media (for example, the definition of press can be one of the questionable and disputable terms). The main thesis of my paper is that the (legal) relationship between publicity and criminal procedures is very important both in the aspect of the rules concerning the press and the right to information as well. It can be stated that because of the lots of different legal norms in force in Hungary concerning the role and possibilities of the media in the criminal (and civil) procedures before the courts, it is not an easy task to answer a couple of questions: what the term „press” means (broad or narrow interpretation is necessary)? Which is the limit of the exclusion of the public from a court hearing? Who is responsible for the violation of privacy rights if the press (or the court) violates the rules concerning the publicity of the hearings? Can the presumption of innocence be violated by the press?</w:t>
      </w:r>
      <w:r>
        <w:rPr>
          <w:color w:val="000000"/>
          <w:sz w:val="24"/>
          <w:szCs w:val="24"/>
        </w:rPr>
        <w:br/>
        <w:t xml:space="preserve">Based on the legal norms in force we cannot answer these questions clearly. In my opinion, not only a new Code of Criminal Procedure but a separate act concerning the relationship between the press and criminal (and civil) procedures should be adopted. Till the adoption of this new act, courts and press shall find alternative solutions, e.g. special informal agreements concluded between courts and well-known media sources, or special rules of procedure concerning the publicity in court hearings adopted by courts. These measures can be considered as the first swallows of the change of the legal regulations, but as the result of these measures the legal background concerning the relationship between the press and publicity is much more complicated than before.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09389">
    <w:multiLevelType w:val="hybridMultilevel"/>
    <w:lvl w:ilvl="0" w:tplc="40282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09389">
    <w:abstractNumId w:val="746093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03235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