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SZENDRŐI 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Elek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igazság felfogásai a büntető eljárásjogban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'Aliud nihil in iudiciis quam iustitiam locum habere debet’ - ahogy azt a latin mondás is megfogalmazza, az igazság felderítése a büntetőeljárás kardinális elemét jelenti. Az 1998. évi XIX. törvény a büntetőeljárásról (Be.) a 12. § (1) bekezdésében úgy fogalmaz, hogy "A bíróság feladata az igazságszolgáltatás."</w:t>
      </w:r>
      <w:r>
        <w:rPr>
          <w:color w:val="000000"/>
          <w:sz w:val="24"/>
          <w:szCs w:val="24"/>
        </w:rPr>
        <w:br/>
        <w:t xml:space="preserve">Az igazság kiderítése, mint a büntetőeljárás célja és feladata axiómaként, megkérdőjelezhetetlen megállapításként, alaptényként kerül kapcsolatba a büntető igazságszolgáltatással, hiszen az igazság megállapítása az alappillére, a conditio sine qua nonja annak, hogy megvalósuljanak a további eljárási feladatok.</w:t>
      </w:r>
      <w:r>
        <w:rPr>
          <w:color w:val="000000"/>
          <w:sz w:val="24"/>
          <w:szCs w:val="24"/>
        </w:rPr>
        <w:br/>
        <w:t xml:space="preserve">Alapos tehát az elvárás az ítélet igazságának, valóságának elérése iránt. Az a kérdés azonban, hogy mit is értünk a büntető eljárásjogi igazság fogalmán, már közel sem egyértelmű.</w:t>
      </w:r>
      <w:r>
        <w:rPr>
          <w:color w:val="000000"/>
          <w:sz w:val="24"/>
          <w:szCs w:val="24"/>
        </w:rPr>
        <w:br/>
        <w:t xml:space="preserve">Dolgozatomban ennek a kérdésnek a megválaszolását tűztem ki célul. Nemzetközi jogösszehasonlítás keretében azt vettem szemügyre, hogy az egyes eljárásjogi rendszerek hogyan vélekednek az igazság fogalmáról, s hogy milyen nélkülözhetetlen kritériumokat tartanak szükségesnek annak megvalósulásához.</w:t>
      </w:r>
      <w:r>
        <w:rPr>
          <w:color w:val="000000"/>
          <w:sz w:val="24"/>
          <w:szCs w:val="24"/>
        </w:rPr>
        <w:br/>
        <w:t xml:space="preserve">A magyar rendszer vizsgálatát a vonatkozó alkotmánybírósági esetjog bemutatásával kezdtem, majd azt tekintettem át, hogy az igazság milyen módon jut érvényre az alapelvi rendszerbe ágyazottan. Az alapelvek mélyreható vizsgálatát követően sikerült összetettebb képet kapnom a büntető eljárásjogbeli igazság fogalmáról, azonban bizonyos éles ellentétek (gondoljunk pl. a materiális igazság és a reformatio in peius, vagy a jogerő feltörése kapcsán a jogbiztonság és az igazság kapcsolatára) tovább növelték az ellentmondások tartományát.</w:t>
      </w:r>
      <w:r>
        <w:rPr>
          <w:color w:val="000000"/>
          <w:sz w:val="24"/>
          <w:szCs w:val="24"/>
        </w:rPr>
        <w:br/>
        <w:t xml:space="preserve">A tételes jogszabály vizsgálatát követően a bírói ítélkezés folyamatára helyeztem a hangsúlyt. Úgy gondolom, hogy témaválasztásom szempontjából ennek áttekintése nélkülözhetetlen, hiszen az igazság kimondásának kötelessége a bíróságra hárul. Joggal feltételezi a társadalom, hogy a jogerős ítélet megfelel az igazság követelményének („Res iudicata pro veritate habetur”).</w:t>
      </w:r>
      <w:r>
        <w:rPr>
          <w:color w:val="000000"/>
          <w:sz w:val="24"/>
          <w:szCs w:val="24"/>
        </w:rPr>
        <w:br/>
        <w:t xml:space="preserve">Az elemzés végére érve sikerült közelebb kerülnöm az igazság fogalmához, azonban a megválaszolatlan kérdések többségben maradtak a vitathatatlan megállapításokhoz képest. Úgy vélem, hogy általános érvénnyel egyik igazság-fogalom primátusát sem mondhatjuk ki, s az ún. "középutas igazságszemlélet" tekinthető a legjobb megoldásnak: kötelezettségként írja elő a valós tényállás megállapítására irányuló törekvést, mellyel egyben elismeri, hogy ez nem mindig lehetséges.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99070">
    <w:multiLevelType w:val="hybridMultilevel"/>
    <w:lvl w:ilvl="0" w:tplc="31347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99070">
    <w:abstractNumId w:val="12599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077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