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UJHELYI IMRE VILMOS</w:t>
            </w:r>
          </w:p>
          <w:p w:rsidR="00C275A3" w:rsidRDefault="00A96AEC" w:rsidP="00C275A3">
            <w:pPr>
              <w:pStyle w:val="Hallgatokepzes"/>
            </w:pPr>
            <w:r>
              <w:t>Jogász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Bencze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Érvelési stratégiák a magyar magánjogi bírói ítélkezésben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1990-es években jelentős változások történtek a magyarországi jogrendszerben. Ezeknek a változásoknak kulcselemei: az alkotmányos elvek megnövekedett szerepe, később az EU-s jogforrások, melyek idővel elérték ugyanazt az érvényességet, mint a nemzeti jogszabályok.</w:t>
      </w:r>
      <w:r>
        <w:rPr>
          <w:color w:val="000000"/>
          <w:sz w:val="24"/>
          <w:szCs w:val="24"/>
        </w:rPr>
        <w:br/>
        <w:t xml:space="preserve">A dolgozat egyik célja, hogy összehasonlítsa miként reagáltak ezen intézményi változásokra a közigazgatási, illetve a polgári bíróságok. A vizsgálat során a polgári és a közigazgatási bíróságok határozataiban szereplő indoklásban alkalmazott érvelési stratégiájukat elemeztük a 1999-2013 közé eső időszakot tekintve. A dolgozat másik kitűzött célja, hogy azokat a polgári bírósági határozatokat, ahol alkotmányjogi, EU-s jogi vagy jogon kívüli érveket találtunk, részletesebben bemutassuk koncentrálva azokra a határozatokra, amelyekben tanulságos érvhasználattal találkoztunk. Harmadikként fogalmazhatunk meg egy nem teljesen független célt az előző kettőtől, mégpedig, hogy a magyar polgári bíróságoknak a formalizmushoz, mint ítélkezés-elméleti fogalomhoz, fűződő viszonyát feltárjuk. Ezen célkitűzések elérésében egyrészt két empirikus kutatás, mely a közigazgatási bíráskodást vizsgálja, másrészt egy 240 darab polgári bírósági döntést magába foglaló szintén empirikus elemzés szolgáltatja az alapot. A közigazgatási bírósági határozatok elemzése során alkalmazott módszertannal megegyezően történt a polgári bíróságok határozatainak vizsgálata.</w:t>
      </w:r>
      <w:r>
        <w:rPr>
          <w:color w:val="000000"/>
          <w:sz w:val="24"/>
          <w:szCs w:val="24"/>
        </w:rPr>
        <w:br/>
        <w:t xml:space="preserve">Az első célkitűzésünk eredményeképpen megállapíthatjuk, összességében a közigazgatási bíróságok jobban reagáltak az új intézményi kihívásokra, illetve előrehaladottabb állapotban vannak a mérsékelt formalista szemléletet illetően, mint a polgári bíróságok.</w:t>
      </w:r>
      <w:r>
        <w:rPr>
          <w:color w:val="000000"/>
          <w:sz w:val="24"/>
          <w:szCs w:val="24"/>
        </w:rPr>
        <w:br/>
        <w:t xml:space="preserve">A második megfogalmazott cél keretében bővebb ismertetésre került 14 darab polgári bírósági határozat. Az ezekből levonható tapasztalatok alapján a következőt mondhatjuk: a bíróságok a nem hagyományos jogi indokokat egy síkban alkalmazzák a hagyományos jogi indokokkal. Tehát nem tulajdonítanak más minőséget ezen érveknek. A jogon kívüli indokok vonatkozásában ez domináns vonása az ismertetett polgári bírósági határozatoknak.</w:t>
      </w:r>
      <w:r>
        <w:rPr>
          <w:color w:val="000000"/>
          <w:sz w:val="24"/>
          <w:szCs w:val="24"/>
        </w:rPr>
        <w:br/>
        <w:t xml:space="preserve">A harmadik célkitűzésünk keretében folytatott vizsgálat nem függetlenül az előző kettőtől a következő eredményre vezetett. A rendszerváltás óta a vizsgálat záró időpontjáig eltelt 23 évben, a polgári bíróságok markáns formalista szemléletet követnek. A formalizmuson belül az indoklási formalizmus jellemzőit tekintem a polgári bíróság érvelési stratégiájában jellemzőnek.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86339">
    <w:multiLevelType w:val="hybridMultilevel"/>
    <w:lvl w:ilvl="0" w:tplc="96953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86339">
    <w:abstractNumId w:val="31686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366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