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VILMOS UJHELYI</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Mátyás Bencze</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Strategies of reasoning in Hungarian private law adjudication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1990’s remarkable changes were brought about in the Hungarian legal system. Key elements of these changes were the increased role of constitutional principles and later the appearence of EU law, which has reached the same validity as national law over time.</w:t>
      </w:r>
      <w:r>
        <w:rPr>
          <w:color w:val="000000"/>
          <w:sz w:val="24"/>
          <w:szCs w:val="24"/>
        </w:rPr>
        <w:br/>
        <w:t xml:space="preserve">The first aim of this paper was to identify and compare how judges of the administrative and civil courts reacted to the institutional changes in the legal environment in Hungary. In our research we analyzed the (applied) legal arguments in the reasonings of the administrative and civil courts’ decisions between the years 1999-2013. The next aim was to present in more detail the instructive civil court decisions where constitutional, EU law and external law arguments could be found in the reasonings. The third aim of our study, which isn’t entirely independent from the previous two aims, was to explore the attitude of the Hungarian civil courts toward formalism as an adjudication-theoretical concept. In order to achieve these aims our research was based on two empirical studies that investigate the administrative jurisdiction, as well as on another empirical analysis, which examines 240 decisions from civil courts. The analyses of the administrative and the civil courts' decisions were both conducted with the same quantitative methodology.</w:t>
      </w:r>
      <w:r>
        <w:rPr>
          <w:color w:val="000000"/>
          <w:sz w:val="24"/>
          <w:szCs w:val="24"/>
        </w:rPr>
        <w:br/>
        <w:t xml:space="preserve">In the conclusion of our first aim we stated that on the whole the administrative courts have adapted better to the new institutional challenges than the civil courts. Regarding the moderate formalistic approach, the administrative courts have reached a more advanced position.</w:t>
      </w:r>
      <w:r>
        <w:rPr>
          <w:color w:val="000000"/>
          <w:sz w:val="24"/>
          <w:szCs w:val="24"/>
        </w:rPr>
        <w:br/>
        <w:t xml:space="preserve">In our second aim 14 civil court decisions were reviewed in more detail. From this overview we can draw the conclusion that the external/non-traditional legal arguments are used in equal form with the traditional legal arguments by the civil courts: they do not differentiate between these arguments. This is a dominant feature related to external law arguments in the reviewed civil courts’ decisions.</w:t>
      </w:r>
      <w:r>
        <w:rPr>
          <w:color w:val="000000"/>
          <w:sz w:val="24"/>
          <w:szCs w:val="24"/>
        </w:rPr>
        <w:br/>
        <w:t xml:space="preserve">The investigation of our third aim wasn’t independent from the previous two analyses. Considering the results we can claim that in Hungary the civil courts have followed a pronounced formalistic approach over the past 23 years between the change of the regime in 1989 and the closing date of this research.</w:t>
      </w:r>
      <w:r>
        <w:rPr>
          <w:color w:val="000000"/>
          <w:sz w:val="24"/>
          <w:szCs w:val="24"/>
        </w:rPr>
        <w:br/>
        <w:t xml:space="preserve">When it comes to the adjucation strategies of the civil courts, it is the reasoning type of formalism that I consider the most characteristic/ pronounced within their formalistic approach.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25834">
    <w:multiLevelType w:val="hybridMultilevel"/>
    <w:lvl w:ilvl="0" w:tplc="26737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25834">
    <w:abstractNumId w:val="72325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426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