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HADHÁZI DÁVID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köztársasági elnöki kegyelem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kegyelem szó hallatán először talán a középkori, magasba törő várak tróntermeiben uralkodó király juthat az eszünkbe, aki Isten kegyelméből élet és halál uraként gyakorolja a kegyelmezés jogát. Valóban régi jogintézményről beszélhetünk, mely azonban ma is létezik.</w:t>
      </w:r>
      <w:r>
        <w:rPr>
          <w:color w:val="000000"/>
          <w:sz w:val="24"/>
          <w:szCs w:val="24"/>
        </w:rPr>
        <w:br/>
        <w:t xml:space="preserve">A keresztény gyökerekkel rendelkező fogalom a büntetés elengedését, mérséklését vagy enyhítését jelenti. A kegyelem a büntetőjognak egy kivételes eszköze, amely akkor funkcionál helyesen, ha ritkán kerül felhívásra. Léte azonban szükséges, hiszen lehetnek olyan körülmények, amelyek a büntetőeljárás lefolytatását vagy a büntetés végrehajtását indokolatlanná és az elkövetőre nézve méltánytalanná tennék.</w:t>
      </w:r>
      <w:r>
        <w:rPr>
          <w:color w:val="000000"/>
          <w:sz w:val="24"/>
          <w:szCs w:val="24"/>
        </w:rPr>
        <w:br/>
        <w:t xml:space="preserve">Hazánkban a köztársasági elnök gyakorolja az egyéni kegyelmezés jogát. Az államfő döntésénél figyelembe vett feltételek, kritériumok nincsenek jogszabályban meghatározva – ez egyfelől problémás lehet, másrészt viszont az egyéni mérlegelés lehetőségét szélesíti. A kegyelmi határozatok a kérelmezők személyiségi jogai miatt nem nyilvánosak, az ebből fakadó visszaélés elkerülésére szolgálhat eszközül az igazságügyért felelős miniszter ellenjegyzése.</w:t>
      </w:r>
      <w:r>
        <w:rPr>
          <w:color w:val="000000"/>
          <w:sz w:val="24"/>
          <w:szCs w:val="24"/>
        </w:rPr>
        <w:br/>
        <w:t xml:space="preserve">A kegyelem újabban a tényleges életfogytig tartó szabadságvesztés kapcsán került a figyelem középpontjába. A Kormány és az Országgyűlés ugyanis egy hivatalból induló, ún. kötelező kegyelmi eljárással orvosolta a büntetés emberi jogi problémáit, ezzel biztosítva az elítélt szabadulása „reményéhez való jogát”. Az eseti jelleggel felálló Kegyelmi Bizottság vizsgálja majd a tényleges életfogytiglanra ítéltek kegyelmi ügyét, indokolással ellátott állásfoglalást elfogadva. Ezt a Bizottság az igazságügyi miniszternek küldi meg, aki a köztársasági elnöknek terjeszti fel.</w:t>
      </w:r>
      <w:r>
        <w:rPr>
          <w:color w:val="000000"/>
          <w:sz w:val="24"/>
          <w:szCs w:val="24"/>
        </w:rPr>
        <w:br/>
        <w:t xml:space="preserve">A megoldás több kérdést is felvet, azonban elmondható, hogy az életfogytig tartó szabadságvesztés és a tényleges életfogytig tartó szabadságvesztés nem olvad össze, mert az előbbinél egy rendes, az utóbbinál viszont egy kivételes eljárás az, amely útján szabadlábra kerülhet az elítélt. A kegyelmi bizottság léte sem ismeretlen a magyar büntetőjog történetében, az 1896-os bűnvádi perrendtartás hatályba lépése előtt a Királyi Kúria keretein belül működött a halálbüntetés esetében egy hasonló testület.</w:t>
      </w:r>
      <w:r>
        <w:rPr>
          <w:color w:val="000000"/>
          <w:sz w:val="24"/>
          <w:szCs w:val="24"/>
        </w:rPr>
        <w:br/>
        <w:t xml:space="preserve">Talán a kötelező kegyelmi eljárás is hozzájárulhat majd ahhoz, hogy a kegyelem intézményének hallatán ne csak az egykori élet és halál felett döntő uralkodók jussanak eszünkbe, hanem egy modern jogállam államfőjének szükségszerű jogosítványa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01012">
    <w:multiLevelType w:val="hybridMultilevel"/>
    <w:lvl w:ilvl="0" w:tplc="4430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01012">
    <w:abstractNumId w:val="13301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436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