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Papp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e. tanárdegéd,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Alapjogok érvényesülése a Bűnvádi perrendtartás (1896. évi XXXIII. tc.) alapelveinek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büntetőeljárásban érvényesülő alapjogvédelem összefüggéseinek feltárására vállalkoztam, melynek alapját a Bűnvádi Perrendtartás 1896: XXXIII. tc. adja. Mint minden kódexnek, a bűnvádi perrendtartás arculatát és irányvonalát is az alapelvek határozzák meg, melyek egyfajta értelmezési keretet nyújtanak a tételes rendelkezésekhez, hiszen a kódex valamennyi tételét az alapelvek alapján kell értelmezni és alkalmazni. Így elsődleges célom volt, hogy megvizsgáljam, hogy az alkotmányos alapjogok milyen tartalommal bírtak, és hogy e jogok a Bűnvádi perrendtartásban miként jelentek meg. Másodsorban vizsgálni kívánom, hogy az alapjogok a bűnvádi alapelveken keresztül hogyan érvényesülhettek, továbbá azok korlátozása esetén a jogalkotó milyen garanciák beépítésére vállalkozott.</w:t>
      </w:r>
      <w:r>
        <w:rPr>
          <w:color w:val="000000"/>
          <w:sz w:val="24"/>
          <w:szCs w:val="24"/>
        </w:rPr>
        <w:br/>
        <w:t xml:space="preserve">A kutatás időbeli keretét a XX. század első harmada adja, hiszen ebben az időszakban, a gazdaságban, a jogdogmatikában és az alapjogi felfogásban alapvető változások zajlottak le, amelyek kihatással voltak a jogállami büntetőhatalom érvényesítésére. Bár a jelenséget a XX. század első harmadában vizsgálom, azonban a végső következtetéseket olyan absztrakt módon kívánom levonni, amelyek tértől és időtől függetlenül a büntetőeljárás jog alkotmányos működéséhez nyújthat értelmezési segítséget.</w:t>
      </w:r>
      <w:r>
        <w:rPr>
          <w:color w:val="000000"/>
          <w:sz w:val="24"/>
          <w:szCs w:val="24"/>
        </w:rPr>
        <w:br/>
        <w:t xml:space="preserve">A fentiekre tekintettel a kutatás során a bírósági peranyag feldolgozás esetjogi módszer segítségével történt. A Magyar Nemzeti Levéltár- Hajdú Bihar Megyei Levéltárának VII./2.b fondjegyzékébe tartozó, a megjelölt időszakban keletkezett büntetőjogi eseteket elemeztem. Az ítélkezési gyakorlat eredményeiből pedig jogtörténeti és jogösszehasonlító módszerek segítségével vontam le következtetéseket.</w:t>
      </w:r>
      <w:r>
        <w:rPr>
          <w:color w:val="000000"/>
          <w:sz w:val="24"/>
          <w:szCs w:val="24"/>
        </w:rPr>
        <w:br/>
        <w:t xml:space="preserve">Összességében a törvények, a vonatkozó szakirodalom, és a bírósági gyakorlat ismeretére alapozva arra a megállapításra jutottam, hogy bár a jogalkotó célszerűségi okokból a büntető igazságszolgáltatás eredményességéhez fűződő érdeket előtérbe helyezi egyes alapjogok érvényesülésével szemben, azokat mindig megfelelő garanciák beépítésével korlátozza, így az alkotmányos alapjogok sérelméről végeredményben nem beszélhetünk. A törvényi rendelkezések szépen idomulnak az alapjogok követelményeihez, az alapjogok áthatják a Bűnvádi Perrendtartás egészét, azok érvényesülésének megfelelő teret enged, és a büntetőeljárásjogi alapelvek segítik ezek megvalósulását.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01205">
    <w:multiLevelType w:val="hybridMultilevel"/>
    <w:lvl w:ilvl="0" w:tplc="7008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01205">
    <w:abstractNumId w:val="29401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329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