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SZABÓ</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Laszlo Papp </w:t>
            </w:r>
          </w:p>
          <w:p w:rsidR="00DB4822" w:rsidRDefault="00DB4822" w:rsidP="009763E0">
            <w:pPr>
              <w:pStyle w:val="Konzulensektitulus"/>
            </w:pPr>
            <w:r w:rsidRPr="00DB4822">
              <w:t>assistant,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enforcement of the fundamental rights in the basic principles of the Bűnvádi Perrendtartás (1896. XXXIII. tc.)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I've tried to find the context of the protection of fundamental rights in criminal prosecution, and this is based on the Bűnvádi Perrendtartás 1896: XXXIII. tc. Like all the Code, the Bűnvádi Perrendtartás is determined by the principles as well, because most of the items of the code has to be interpreted and applied on them.</w:t>
      </w:r>
      <w:r>
        <w:rPr>
          <w:color w:val="000000"/>
          <w:sz w:val="24"/>
          <w:szCs w:val="24"/>
        </w:rPr>
        <w:br/>
        <w:t xml:space="preserve">My primary goal was to examine the content of the fundamental constitutional rights, and how these rights appeared in the Bűnvádi Perrendtartás. Secondly, I would like to examine how the fundamental right prevailed through the prosecution principles, and if these were limited, what kind of safeguards were brought in by the legislature.</w:t>
      </w:r>
      <w:r>
        <w:rPr>
          <w:color w:val="000000"/>
          <w:sz w:val="24"/>
          <w:szCs w:val="24"/>
        </w:rPr>
        <w:br/>
        <w:t xml:space="preserve">The time limit for my work is the first third period of the XX. century, because during this time there were changes in the economy and in the dogmatic, and in the way how the people judged the fundamental rights. These things affected the enforcement of the criminal power. Even though I only examined the first third part of the XX. century, I tried to make conclusions in a way, so it would fit with the modern procedural law.</w:t>
      </w:r>
      <w:r>
        <w:rPr>
          <w:color w:val="000000"/>
          <w:sz w:val="24"/>
          <w:szCs w:val="24"/>
        </w:rPr>
        <w:br/>
        <w:t xml:space="preserve">My research is based on scientific literature and and I mostly worked with archives which belong to the VII./2. b fond list of the Hajdú Bihar Megyei Levéltár.</w:t>
      </w:r>
      <w:r>
        <w:rPr>
          <w:color w:val="000000"/>
          <w:sz w:val="24"/>
          <w:szCs w:val="24"/>
        </w:rPr>
        <w:br/>
        <w:t xml:space="preserve">Overall, I came to the conclusion, that even though the legislature puts the criminal justice interest to the fore against the enforcement of the fundamental rights; it brings in the proper safeguards, so in result, the fundamental rights wont be violated. The fundamental rights pervade the whole Bűnvádi Perrendtartás, and the realization is helped by prosecution law principles.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36409">
    <w:multiLevelType w:val="hybridMultilevel"/>
    <w:lvl w:ilvl="0" w:tplc="68583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36409">
    <w:abstractNumId w:val="44636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336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