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FERENCZY ÁRON</w:t>
            </w:r>
          </w:p>
          <w:p w:rsidR="00C275A3" w:rsidRDefault="00A96AEC" w:rsidP="00C275A3">
            <w:pPr>
              <w:pStyle w:val="Hallgatokepzes"/>
            </w:pPr>
            <w:r>
              <w:t>Jogász</w:t>
            </w:r>
            <w:r>
              <w:br/>
            </w:r>
            <w:r w:rsidR="00E77B23">
              <w:t>Osztatlan, 7. félév</w:t>
            </w:r>
          </w:p>
          <w:p w:rsidR="00C265CE" w:rsidRPr="009E5FF1" w:rsidRDefault="00E77B23" w:rsidP="009763E0">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Papp László</w:t>
            </w:r>
          </w:p>
          <w:p w:rsidR="00DB4822" w:rsidRDefault="00DB4822" w:rsidP="009763E0">
            <w:pPr>
              <w:pStyle w:val="Konzulensektitulus"/>
            </w:pPr>
            <w:r w:rsidRPr="00DB4822">
              <w:t>e. tanársegéd,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tárgyalási rendszerek megítélése az 1911:I. tc. pergátló körülményei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arra kerestem a választ, hogy a tárgyalási rendszerek mennyire befolyásolják a polgári per menetét, különös peralapítás szakaszában. Nem törekedtem a polgári per más szakaszainak megvizsgálására, mivel a perirodalom a tárgyalási rendszerek mibenlétét a peralapítás szakaszához köti, amelyre típusai is utalnak, mint az egységes, a vegyes és az osztott tárgyalási rendszer.</w:t>
      </w:r>
      <w:r>
        <w:rPr>
          <w:color w:val="000000"/>
          <w:sz w:val="24"/>
          <w:szCs w:val="24"/>
        </w:rPr>
        <w:br/>
        <w:t xml:space="preserve">Kutatásaim során nem kívántam komparatív elemzés alá vonni a különböző tárgyalási rendszereket, hanem kizárólag egy polgári perrendtartás tárgyalási rendszerét vizsgáltam meg tüzetesebben és vontam le belőle következtetéseimet. Ennek oka, hogy véleményem szerint a tárgyalási rendszereket nem lehet összehasonlítani hatékonysági, gyorsasági vagy célszerűségi alapon. Az eltérő korokban hatályos perjogi törvények más életviszonyokra reagáltak, különböző rendelkezésekkel töltötték meg a polgári perrendtartást, így még ha ugyanolyan tárgyalási rendszert is alkalmaztak volna két korban, eltérő lett volna annak hatása.</w:t>
      </w:r>
      <w:r>
        <w:rPr>
          <w:color w:val="000000"/>
          <w:sz w:val="24"/>
          <w:szCs w:val="24"/>
        </w:rPr>
        <w:br/>
        <w:t xml:space="preserve">Választásom az 1911. évi I. törvénycikkre esett, mivel közel 60 éve hatálytalan, illetve példaértékű másodlagos forrásanyaggal büszkélkedik. Dolgozatom elkészítésében a Magyar Nemzeti Levéltár Hajdú Bihar Megyei Levéltárának 1920 és 1930 közötti peranyagát is felhasználtam, amely körülbelül 22 folyóméternyi perirat átnézését jelentette. A peranyagokban a pergátló körülmények tárgyában hozott végzéseket és ítéleteket kerestem ki. Ennek fontosságát abban láttam, hogy a peralapítás szakaszának nagy jelentősége van az osztott tárgyalási rendszer kapcsán, így annak rendellenességei kihatnak az egész perrendtartásra. Az ítélkezési gyakorlat vizsgálatára megjelölt intervallum kezdete azért 1920, mivel az I. Világháború alatt fennálló ítélkezési moratórium oly mértékű pertorlódást okozott, hogy a korábbi ítéletekből levont következtetéseket nem tartottam volna relevánsnak.</w:t>
      </w:r>
      <w:r>
        <w:rPr>
          <w:color w:val="000000"/>
          <w:sz w:val="24"/>
          <w:szCs w:val="24"/>
        </w:rPr>
        <w:br/>
        <w:t xml:space="preserve">Összefoglalva kutatásaim, arra a következtetésekre jutottam, hogy a pergátló kifogások letárgyalása eléggé hosszadalmas eljárás volt, melynek fő oka a felperes önálló fellebbezési lehetősége. A perképesség hiányára alapított pergátló kifogás esetén a bírói gyakorlat a hiánypótlás lehetőségét nem alkalmazta. Az alperes pergátló kifogásra történő hivatkozását a perbebocsátkozást követően szűkíteni kellett volna. Bár az osztott tárgyalási rendszer ezen kisebb szabályozatlanságok ellenére hatékony perrendtartásnak bizonyult, de ez nem jelenti azt, hogy más korban, akár napjainkban is hatékony lenne.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07809">
    <w:multiLevelType w:val="hybridMultilevel"/>
    <w:lvl w:ilvl="0" w:tplc="34579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07809">
    <w:abstractNumId w:val="89907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230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