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FERENCZY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Papp</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Bar to Proceedings in the Trial System of Code of Civil Procedure, the Act I of 1911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analysed the negotiation system’s influence on the civil procedure, mostly in beginning of the suit formation. I did not try to investigate on other stages of the civil action because the action literature analyses the hearing system as part of the suit formation, which is confirmed by three types: unified, mixed and segmental hearing system.</w:t>
      </w:r>
      <w:r>
        <w:rPr>
          <w:color w:val="000000"/>
          <w:sz w:val="24"/>
          <w:szCs w:val="24"/>
        </w:rPr>
        <w:br/>
        <w:t xml:space="preserve">In my research I did not want to make comparative analyses between the different hearing systems, I only examined one code of civil procedure and I made my conclusion on this. The reason is that, in my opinion, we cannot compare the hearing systems based on efficiency, speed or expediency. The judicial process laws in distinct periods had to elaborate on different lifestyles, the code of civil procedure was filled with different provisions, and even if they would have adopted the same similar systems in two periods, the effect of that would have been different.</w:t>
      </w:r>
      <w:r>
        <w:rPr>
          <w:color w:val="000000"/>
          <w:sz w:val="24"/>
          <w:szCs w:val="24"/>
        </w:rPr>
        <w:br/>
        <w:t xml:space="preserve">I choose the act I of 1911, since it is invalid for nearly 60 years, and has exemplary secondary source material. In writing my paper I used the brief from 1920 to 1930, around 22 running meter records which I found in the National Archive of Hungary. In those documents I was searching for rulings and verdicts based on peremptory circumstances. In my opinion this is substantial because the stage of suit formation has huge significance on the segmental hearing system, so its irregularities have an impact on the whole code of procedure. The sentencing practice’s research interval starts with 1920 because the sentencing moratorium during the I. World War caused such an obstruction, that the conclusions deducted from the previous verdicts I did not consider relevant.</w:t>
      </w:r>
      <w:r>
        <w:rPr>
          <w:color w:val="000000"/>
          <w:sz w:val="24"/>
          <w:szCs w:val="24"/>
        </w:rPr>
        <w:br/>
        <w:t xml:space="preserve">In conclusion, according to my researches, I got to the point, that the hearing of bars to proceeding was rather lengthy procedure, mainly because of the plaintiffs independent appeal opportunities. In the case of the bar to proceeding, established for the lack of capacity to sue, the judiciary practice did not apply the chance of completion of documents. The defendant’s reference on bars to proceeding should have been narrowed after the appearance in court. Although the segmental hearing system, despite this smaller unregulations, seemed to be an efficient code of procedure, this does not mean that in other periods, even nowadays, this would be efficient enough.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77284">
    <w:multiLevelType w:val="hybridMultilevel"/>
    <w:lvl w:ilvl="0" w:tplc="60868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77284">
    <w:abstractNumId w:val="52477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19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