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HORVÁTH</w:t>
            </w:r>
          </w:p>
          <w:p w:rsidR="00C275A3" w:rsidRDefault="00A96AEC" w:rsidP="00C275A3">
            <w:pPr>
              <w:pStyle w:val="Hallgatokepzes"/>
            </w:pPr>
            <w:r>
              <w:t>Department of Physics of Materials</w:t>
            </w:r>
            <w:r>
              <w:br/>
            </w:r>
            <w:r w:rsidR="00E77B23">
              <w:t>MA, 9. semester</w:t>
            </w:r>
          </w:p>
          <w:p w:rsidR="00C265CE" w:rsidRPr="009E5FF1" w:rsidRDefault="00E77B23" w:rsidP="00C275A3">
            <w:pPr>
              <w:pStyle w:val="Hallgatokepzes"/>
              <w:rPr>
                <w:b/>
                <w:caps/>
              </w:rPr>
            </w:pPr>
            <w:r>
              <w:t>Charles University in Prague</w:t>
            </w:r>
            <w:r w:rsidR="00C275A3">
              <w:br/>
            </w:r>
            <w:r w:rsidR="00DB4822">
              <w:t>Faculty of Mathematics and Physics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Ing. Patrik Dobroň, PhD.</w:t>
            </w:r>
          </w:p>
          <w:p w:rsidR="00DB4822" w:rsidRDefault="00DB4822" w:rsidP="00E11062">
            <w:pPr>
              <w:pStyle w:val="Konzulensek"/>
            </w:pPr>
            <w:r w:rsidRPr="00DB4822">
              <w:t>Assistant professor,  Charles University in Prague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Magnézium ötvözetek deformációs mechanizmusainak valósidejű vizsgálata akusztikus emisszióval egytengelyű- és kisciklusú terhelés közben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the presented work was investigation of the influence of the alloying content and the extrusion speed on the tension-compression yield asymmetry of aluminum-free ZE10 (Mg - 1.3 wt.% Zn – 0.1 wt.% rare earth) and ZEK100 (Mg - 1.4 wt.% Zn – 0.2 wt.% rare earth - 0.6 wt.% Zr) magnesium alloys. The optical light microscopy studies revealed that the zirconium addition significantly decreases the grain size, but also leads to formation of inhomogeneous microstructure, particularly when slow extrusion speed (0.5 mm/s) is applied.</w:t>
      </w:r>
    </w:p>
    <w:p>
      <w:pPr>
        <w:widowControl w:val="on"/>
        <w:pBdr/>
        <w:spacing w:before="240" w:after="240" w:line="240" w:lineRule="auto"/>
        <w:ind w:left="0" w:right="0"/>
        <w:jc w:val="left"/>
      </w:pPr>
      <w:r>
        <w:rPr>
          <w:color w:val="000000"/>
          <w:sz w:val="24"/>
          <w:szCs w:val="24"/>
        </w:rPr>
        <w:br/>
        <w:t xml:space="preserve">The in-situ acoustic emission (AE) testing was conducted at room temperature during uniaxial tensile and compression deformation tests at a constant strain rate of 10</w:t>
      </w:r>
      <w:r>
        <w:rPr>
          <w:color w:val="000000"/>
          <w:position w:val="4"/>
          <w:sz w:val="21"/>
          <w:szCs w:val="21"/>
          <w:vertAlign w:val="superscript"/>
        </w:rPr>
        <w:t xml:space="preserve">-3</w:t>
      </w:r>
      <w:r>
        <w:rPr>
          <w:color w:val="000000"/>
          <w:sz w:val="24"/>
          <w:szCs w:val="24"/>
        </w:rPr>
        <w:t xml:space="preserve"> s</w:t>
      </w:r>
      <w:r>
        <w:rPr>
          <w:color w:val="000000"/>
          <w:position w:val="4"/>
          <w:sz w:val="21"/>
          <w:szCs w:val="21"/>
          <w:vertAlign w:val="superscript"/>
        </w:rPr>
        <w:t xml:space="preserve">-1</w:t>
      </w:r>
      <w:r>
        <w:rPr>
          <w:color w:val="000000"/>
          <w:sz w:val="24"/>
          <w:szCs w:val="24"/>
        </w:rPr>
        <w:t xml:space="preserve">. The tension-compression yield asymmetry was found decreasing with decreasing grain size. The AE response also exhibited dependence on the microstructure. The largest AE activity, mostly caused by twinning, was detected for ZE10 alloy having the largest grains. Furthermore, as a consequence of inhomogeneous microstructure, the strain evolution of AE count rate showed two distinct maximums for ZEK100 alloy.</w:t>
      </w:r>
    </w:p>
    <w:p>
      <w:pPr>
        <w:widowControl w:val="on"/>
        <w:pBdr/>
        <w:spacing w:before="240" w:after="240" w:line="240" w:lineRule="auto"/>
        <w:ind w:left="0" w:right="0"/>
        <w:jc w:val="left"/>
      </w:pPr>
      <w:r>
        <w:rPr>
          <w:color w:val="000000"/>
          <w:sz w:val="24"/>
          <w:szCs w:val="24"/>
        </w:rPr>
        <w:br/>
        <w:t xml:space="preserve">The cyclic (compression-tension) deformation tests revealed that the detwinning process during the tensile cycle significantly depends on the maximum stress reached in the compression cycle.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71160">
    <w:multiLevelType w:val="hybridMultilevel"/>
    <w:lvl w:ilvl="0" w:tplc="45568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71160">
    <w:abstractNumId w:val="279711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134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