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CZAPÁRI ANDRÁS</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Kukorelli István</w:t>
            </w:r>
          </w:p>
          <w:p w:rsidR="00DB4822" w:rsidRDefault="00DB4822" w:rsidP="009763E0">
            <w:pPr>
              <w:pStyle w:val="Konzulensektitulus"/>
            </w:pPr>
            <w:r w:rsidRPr="00DB4822">
              <w:t>egyetemi tanár, ELTE ÁJK</w:t>
            </w:r>
          </w:p>
        </w:tc>
      </w:tr>
      <w:tr w:rsidR="00DB4822" w:rsidTr="00DB4822">
        <w:tc>
          <w:tcPr>
            <w:tcW w:w="9854" w:type="dxa"/>
          </w:tcPr>
          <w:p w:rsidR="00DB4822" w:rsidRPr="00DB4822" w:rsidRDefault="00DB4822" w:rsidP="009763E0">
            <w:pPr>
              <w:pStyle w:val="Konzulenseknev"/>
            </w:pPr>
            <w:r w:rsidRPr="00DB4822">
              <w:t>dr. Papp Imre</w:t>
            </w:r>
          </w:p>
          <w:p w:rsidR="00DB4822" w:rsidRDefault="00DB4822" w:rsidP="009763E0">
            <w:pPr>
              <w:pStyle w:val="Konzulensektitulus"/>
            </w:pPr>
            <w:r w:rsidRPr="00DB4822">
              <w:t>egyetemi 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láthatatlan alkotmány nyomában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“láthatatlan alkotmány” fogalmát Sólyom László, az Alkotmánybíróság első elnöke alkotta meg. A kifejezés, amely később a testület szerepfelfogásának szimbólumává vált, kiválóan illusztálja az ‘aktivistának’ nevezett alkotmányértelmezés pártolóinak gondolkodását. Ezen álláspont képviselői szerint az alkotmány homályos, absztrakt rendelkezéseit is alkalmazni kell, méghozzá oly módon, hogy kreatív munkával kiolvasztjuk a szövegben már benne rejlő tartalmat, olyan elvi tételeket alkotva ezáltal, amelyek valamilyen szinten túlmutatnak a puszta szövegen, de nem kerülnek vele ellentétben.</w:t>
      </w:r>
      <w:r>
        <w:rPr>
          <w:color w:val="000000"/>
          <w:sz w:val="24"/>
          <w:szCs w:val="24"/>
        </w:rPr>
        <w:br/>
        <w:t xml:space="preserve">Ezt a a fajta értelmezési attitűdöt sokan bírálták már és bírálják jelenleg is. A dolgozat megírásával az volt a célom, hogy ezekre a kritikákra válaszoljak, és megvédjem a Sólyom-féle koncepciót. Egyfelől szeretném tisztázni, hogy mit is jelent pontosan a “láthatatlan alkotmány” fogalma, eloszlatva ezáltal számos félreértést, másfelől pedig igyekszem igazolni a koncepció létjogosultságát.</w:t>
      </w:r>
      <w:r>
        <w:rPr>
          <w:color w:val="000000"/>
          <w:sz w:val="24"/>
          <w:szCs w:val="24"/>
        </w:rPr>
        <w:br/>
        <w:t xml:space="preserve">A dolgozat elején a jogértelmezés és az alkotmányértelmezés általános kérdéseivel foglalkozom, sorra véve a különböző értelmezési módszereket. Ezt követően az ‘aktivizmus’ kifejezés jelentését tárom fel, majd pedig megpróbálom igazolni az aktivista alkotmányértelmezést. Először a mellette szóló érveket vizsgálom meg. Bemutatom Kis János filozófusnak a ‘közösség önkorlátozása’ névre hallgató modelljét, amely álláspontom szerint a legjobban magyarázza az alkotmánybírósági aktivizmust.</w:t>
      </w:r>
      <w:r>
        <w:rPr>
          <w:color w:val="000000"/>
          <w:sz w:val="24"/>
          <w:szCs w:val="24"/>
        </w:rPr>
        <w:br/>
        <w:t xml:space="preserve">Utána a legnépszerűbb ellenérveket veszem górcső alá, és igyekszem őket megcáfolni, bizonyítva, hogy az aktivista alkotmánybíráskodás nem ellentétes sem a népszuverenitással, sem a demokráciával, nem jelent politikai kérdésekben való döntést, és nem egyenlő a burkolt alkotmánymódosítással.</w:t>
      </w:r>
      <w:r>
        <w:rPr>
          <w:color w:val="000000"/>
          <w:sz w:val="24"/>
          <w:szCs w:val="24"/>
        </w:rPr>
        <w:br/>
        <w:t xml:space="preserve">Ezután azokat az önkorlátozó szabályokat veszem sorra, amelyek segíthetnek az önkényes alkotmánybírósági döntések elkerülésében. Három ilyen módszert mutatok be: az érvelés, a folytonosság, és a koherencia követelményét. Az aktivizmusról és az önkorlátozásról szóló fejezetek következtetéseinek összegzésével pedig megalkotom a "láthatatlan alkotmány" fogalmát.</w:t>
      </w:r>
      <w:r>
        <w:rPr>
          <w:color w:val="000000"/>
          <w:sz w:val="24"/>
          <w:szCs w:val="24"/>
        </w:rPr>
        <w:br/>
        <w:t xml:space="preserve">Végezetül megvizsgálom, hogy az Alaptörvény negyedik módosításának azon rendelkezése ellenére, miszerint a módosítás hatályba lépése előtt született alkotmánybírósági határozatok hatályukat vesztik, vajon tovább élnek-e a láthatatlan alkotmány tételei.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3236">
    <w:multiLevelType w:val="hybridMultilevel"/>
    <w:lvl w:ilvl="0" w:tplc="25943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3236">
    <w:abstractNumId w:val="51873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484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