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CZAPÁRI</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Kukorelli</w:t>
            </w:r>
          </w:p>
          <w:p w:rsidR="00DB4822" w:rsidRDefault="00DB4822" w:rsidP="00E11062">
            <w:pPr>
              <w:pStyle w:val="Konzulensek"/>
            </w:pPr>
            <w:r w:rsidRPr="00DB4822">
              <w:t>professor, ELTE ÁJK</w:t>
            </w:r>
          </w:p>
        </w:tc>
      </w:tr>
      <w:tr w:rsidR="00DB4822" w:rsidTr="00DB4822">
        <w:tc>
          <w:tcPr>
            <w:tcW w:w="9854" w:type="dxa"/>
          </w:tcPr>
          <w:p w:rsidR="00DB4822" w:rsidRPr="00DB4822" w:rsidRDefault="00DB4822" w:rsidP="004D7940">
            <w:pPr>
              <w:pStyle w:val="Konzulensek"/>
            </w:pPr>
            <w:r w:rsidRPr="00DB4822">
              <w:t>dr. Imre Papp</w:t>
            </w:r>
          </w:p>
          <w:p w:rsidR="00DB4822" w:rsidRDefault="00DB4822" w:rsidP="00E11062">
            <w:pPr>
              <w:pStyle w:val="Konzulensek"/>
            </w:pPr>
            <w:r w:rsidRPr="00DB4822">
              <w:t>assistant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Searching for the invisible constitution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concept of the „invisible constitution” was created by László Sólyom, who was the first president of the Constitutional Court of Hungary. The phrase that has later become the symbol of the Court’s conception about their role, excellently illustrates a certain approach to constitutional interpretation, which is called ’activism’. Those who support this view claim that even the vague and abstract parts of the constitution should be implemented, in such a way, that through creative work, judges need to grasp the meaning that lies behind these abstract clauses. They can do it by creating general propositions that specify this meaning, and basing their verdict on them. These propositions can go beyond the plain text, but they cannot be in contradiction with it.</w:t>
      </w:r>
      <w:r>
        <w:rPr>
          <w:color w:val="000000"/>
          <w:sz w:val="24"/>
          <w:szCs w:val="24"/>
        </w:rPr>
        <w:br/>
        <w:t xml:space="preserve">  This attitude of interpretation has been criticized a lot. By writing this paper, my goal was to answer to these critics, and to defend Sólyom’s concept. I intend to do two things: define the meaning of the term „invisible constitution”, so that I can clear up a lot of misconceptions about this subject, and to I justify the concept’s existence.</w:t>
      </w:r>
      <w:r>
        <w:rPr>
          <w:color w:val="000000"/>
          <w:sz w:val="24"/>
          <w:szCs w:val="24"/>
        </w:rPr>
        <w:br/>
        <w:t xml:space="preserve">At the beginning of the paper, I adress the issue of legal and constitutional interpretation, and enumerate the methods of interpretation. Then I identify the meaning of ’activism’, and justify the activist approach to constitutional interpretation. First I survey the arguments that support it. I present the model of the philosopher Janos Kis called the ’self-restraint of the community’, which – in my opinion – is the best explanation of activism.</w:t>
      </w:r>
      <w:r>
        <w:rPr>
          <w:color w:val="000000"/>
          <w:sz w:val="24"/>
          <w:szCs w:val="24"/>
        </w:rPr>
        <w:br/>
        <w:t xml:space="preserve">  After that I analyze the most popular cons, and try to refute them. I prove that activism is not against popular sovereignty and democracy and it doesn’t mean that we decide political questions. I also prove that judging in an activist way does not mean that judges secretly amend the constitution.</w:t>
      </w:r>
      <w:r>
        <w:rPr>
          <w:color w:val="000000"/>
          <w:sz w:val="24"/>
          <w:szCs w:val="24"/>
        </w:rPr>
        <w:br/>
        <w:t xml:space="preserve">  Then I examine certain self-restraining rules for constitutional courts that can help avoiding arbitrary decisions. I set up three requirements: reasoning, consisteny and coherence. By summarizing the conclusions of the parts about activism and self-restrainment, I create the definition of the „invisible constitution”.</w:t>
      </w:r>
      <w:r>
        <w:rPr>
          <w:color w:val="000000"/>
          <w:sz w:val="24"/>
          <w:szCs w:val="24"/>
        </w:rPr>
        <w:br/>
        <w:t xml:space="preserve">  At the end of the paper, I deal with the question, whether the „invisible constitution” lives on after the Fourth Amendment to the Fundamental Law of Hungary, which repealed the former decisions of the Constitutional Court.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663377">
    <w:multiLevelType w:val="hybridMultilevel"/>
    <w:lvl w:ilvl="0" w:tplc="495248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663377">
    <w:abstractNumId w:val="276633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23293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