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KORNEL MATITS</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Imre Papp</w:t>
            </w:r>
          </w:p>
          <w:p w:rsidR="00DB4822" w:rsidRDefault="00DB4822" w:rsidP="00E11062">
            <w:pPr>
              <w:pStyle w:val="Konzulensek"/>
            </w:pPr>
            <w:r w:rsidRPr="00DB4822">
              <w:t>assistant 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Reform of the Hungarian pension system in 2010-2012</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Hungarian Parliament, formed in 2010, started its work with no smaller ambitions than the renewal of the Hungarian pension system by which it meant to tailor it to the modern, 21st century requirements.</w:t>
      </w:r>
    </w:p>
    <w:p>
      <w:pPr>
        <w:widowControl w:val="on"/>
        <w:pBdr/>
        <w:spacing w:before="240" w:after="240" w:line="240" w:lineRule="auto"/>
        <w:ind w:left="0" w:right="0"/>
        <w:jc w:val="left"/>
      </w:pPr>
      <w:r>
        <w:rPr>
          <w:color w:val="000000"/>
          <w:sz w:val="24"/>
          <w:szCs w:val="24"/>
        </w:rPr>
        <w:t xml:space="preserve">My paper aims to track and analyse these modifications and changes. Between 2010 and 2012 the Hungarian Parliment – by creating four acts - changed the three-pillar pension system of Hungary into a two-pillar system by abolishing the mandatory private pension fund-pillar. I revealed that the reform acts may be criticised from the viewpoint of the constitutional law with special emphasis on the fundamental right to the property and the right for the freedom of decision (which can be conducted from the right to human dignity).</w:t>
      </w:r>
    </w:p>
    <w:p>
      <w:pPr>
        <w:widowControl w:val="on"/>
        <w:pBdr/>
        <w:spacing w:before="240" w:after="240" w:line="240" w:lineRule="auto"/>
        <w:ind w:left="0" w:right="0"/>
        <w:jc w:val="left"/>
      </w:pPr>
      <w:r>
        <w:rPr>
          <w:color w:val="000000"/>
          <w:sz w:val="24"/>
          <w:szCs w:val="24"/>
        </w:rPr>
        <w:t xml:space="preserve">I also analyse the problems the Hungarian pension system may be facing with in short to mid term. My goal was to create a paper which gives a clear and coherent picture of the current Hungarian pension system. I intended not only to concentrate on currently operating laws but also to examine and present the changes, tendencies and the direction the government schould follow during the next steps of the reform.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154789">
    <w:multiLevelType w:val="hybridMultilevel"/>
    <w:lvl w:ilvl="0" w:tplc="606960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154789">
    <w:abstractNumId w:val="451547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72136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