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MÉCS</w:t>
            </w:r>
          </w:p>
          <w:p w:rsidR="00C275A3" w:rsidRDefault="00A96AEC" w:rsidP="00C275A3">
            <w:pPr>
              <w:pStyle w:val="Hallgatokepzes"/>
            </w:pPr>
            <w:r>
              <w:t>Law</w:t>
            </w:r>
            <w:r>
              <w:br/>
            </w:r>
            <w:r w:rsidR="00E77B23">
              <w:t>Unified, 9. semester</w:t>
            </w:r>
          </w:p>
          <w:p w:rsidR="00C265CE" w:rsidRPr="009E5FF1" w:rsidRDefault="00E77B23" w:rsidP="009763E0">
            <w:pPr>
              <w:pStyle w:val="Hallgatointezmeny-kar"/>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Eszter Bodnár</w:t>
            </w:r>
          </w:p>
          <w:p w:rsidR="00DB4822" w:rsidRDefault="00DB4822" w:rsidP="009763E0">
            <w:pPr>
              <w:pStyle w:val="Konzulensektitulus"/>
            </w:pPr>
            <w:r w:rsidRPr="00DB4822">
              <w:t>professor, ELTE ÁJK</w:t>
            </w:r>
          </w:p>
        </w:tc>
      </w:tr>
      <w:tr w:rsidR="00DB4822" w:rsidTr="00DB4822">
        <w:tc>
          <w:tcPr>
            <w:tcW w:w="9854" w:type="dxa"/>
          </w:tcPr>
          <w:p w:rsidR="00DB4822" w:rsidRPr="00DB4822" w:rsidRDefault="00DB4822" w:rsidP="009763E0">
            <w:pPr>
              <w:pStyle w:val="Konzulenseknev"/>
            </w:pPr>
            <w:r w:rsidRPr="00DB4822">
              <w:t>Benede Varsányi</w:t>
            </w:r>
          </w:p>
          <w:p w:rsidR="00DB4822" w:rsidRDefault="00DB4822" w:rsidP="009763E0">
            <w:pPr>
              <w:pStyle w:val="Konzulensektitulus"/>
            </w:pPr>
            <w:r w:rsidRPr="00DB4822">
              <w:t>Consultant,  Constitutional Court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constitutionality of winner compensation – judging positive ballots in the light of equal suffrage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the paper is one of the new elements of the Hungarian electoral system, the “winner compensation.” First, the paper identifies the examined provision and embeds it into the changed framework of law. As a consequence of the structural-functional characteristics of the examined provision, fundamental observations are made with respect to the electoral system, clarifying its exact notion, possible translations, the characteristics of the majoritarian and proportional systems, and the question of the modification and normativity of electoral systems.</w:t>
      </w:r>
    </w:p>
    <w:p>
      <w:pPr>
        <w:widowControl w:val="on"/>
        <w:pBdr/>
        <w:spacing w:before="240" w:after="240" w:line="240" w:lineRule="auto"/>
        <w:ind w:left="0" w:right="0"/>
        <w:jc w:val="left"/>
      </w:pPr>
      <w:r>
        <w:rPr>
          <w:color w:val="000000"/>
          <w:sz w:val="24"/>
          <w:szCs w:val="24"/>
        </w:rPr>
        <w:br/>
        <w:t xml:space="preserve">Afterwards the overview of the constitutional and international legal framework of the provision is made, identifying the relevant sources of law, pointing out the wide margin of appreciation in determining the notion of equal suffrage. Two possible interpretations of equal suffrage are shown, the effective equality and the typology laid down by the Hungarian constitutional court. It is pointed out that the effective equality of suffrage cannot be told by the examination of the legal framework; the examination of political background is called for.</w:t>
      </w:r>
    </w:p>
    <w:p>
      <w:pPr>
        <w:widowControl w:val="on"/>
        <w:pBdr/>
        <w:spacing w:before="240" w:after="240" w:line="240" w:lineRule="auto"/>
        <w:ind w:left="0" w:right="0"/>
        <w:jc w:val="left"/>
      </w:pPr>
      <w:r>
        <w:rPr>
          <w:color w:val="000000"/>
          <w:sz w:val="24"/>
          <w:szCs w:val="24"/>
        </w:rPr>
        <w:br/>
        <w:t xml:space="preserve">The decision of the Constitutional Court on the constitutionality of the winner compensation is presented, including the arguments and the dissenting opinion showing up in the decision. The decision is analysed in two aspects; on the one hand from the aspect of the compatibility with the previous case law of the Constitutional court. It is noted that the provision would be constitutional according to the previous typology of the constitutional court, if there were any constitutional reason for restricting equal suffrage. The view is expressed, that in the absence of this the provision is not constitutional, therefore the decision is contradictory to the previous case law of the Constitutional Court.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83209">
    <w:multiLevelType w:val="hybridMultilevel"/>
    <w:lvl w:ilvl="0" w:tplc="77626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83209">
    <w:abstractNumId w:val="424832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1877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