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MILÁNKOVICH ANDRÁS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Kukorelli István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ELTE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Papp Imre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Holt jog, vagy új lehetőségek csírája? A kérelmezési és panaszjog napjainkban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Hatályos Alaptörvényünk alapjogi katalógusában – a világ legtöbb alkotmányához hasonlóan – megbújik egy hazánkban alig ismert jog, amelynek tekintetében a jogtudomány „sántítva baktat az alkotmányos (és egyéb) szabályozás után, s inkább a pozitív jog glosszálására törekszik.” Ez az Alaptörvény XXV. cikkében biztosított petíciós jog, amelyről a rendszerváltás óta szinte megfeledkezett a jogtudomány, az Alkotmánybíróság, de még maga a jogalkotó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Hazánkban 2014. január 1-jén hatályba lépett a közérdekű bejelentésekről és panaszokról szóló 2013. évi CLXV. törvény, amely az alapjog átfogú szabályozását célozza. E dolgozat kiindulópontja az, hogy a petíciós jogban (részjogosítványait tekintve a kérelmezési- és panaszjogban) a jelenlegi perspektíváknál jóval több lehetőség rejlik, amelynek a megfelelő kiaknázásával rengeteget nyerhetne a társadalom. A kormányzás „másik oldalán” álló lakosság tapasztalatainak és javaslatainak a döntéshozatalba való becsatornázásától kezdve a korrupció elleni harcon át az egyéni érdekvédelemig számos területen érhetne el pozitív társadalmi változásokat a jogintézmények tudatosabb használata.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alapjog viszonylagos „elhanyagoltsága” okán a dogmatikája a lehetségesnél kevésbé kidolgozott, épp ezért számos esélyt kínál a fejlesztésre. Ahhoz, hogy a fenti célokig eljuthassunk, stabil dogmatikai alapra van szükség, amelyre később fel lehet építeni a joggyakorlásra vonatkozó szabályok koherens, megfelelően tiszta fogalmakkal dolgozó rendszerét. A dolgozat ezért ennek vizsgálatára helyezi a hangsúlyt. Célja, hogy az elemzés végére feltárja a kérelmezési- és panaszjog fogalmi elemeit, így eljusson az alapjog komplex fogalmának meghatározásához, és egy megújított alkotmányszöveg javaslatához.</w:t>
      </w:r>
      <w:r>
        <w:rPr>
          <w:color w:val="000000"/>
          <w:sz w:val="24"/>
          <w:szCs w:val="24"/>
        </w:rPr>
        <w:br/>
        <w:t xml:space="preserve">A dolgozatot mintegy „kiegészítő” jelleggel széles körű empirikus vizsgálódáson alapuló felmérés kíséri, amely a vizsgált alapjog utóbbi 15 évben nem kutatott gyakorlati érvényesülését veszi górcső alá és tesz releváns megállapításokat, amelyek az alapjog fejlesztésének kiindulópontjai lehetnek.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508514">
    <w:multiLevelType w:val="hybridMultilevel"/>
    <w:lvl w:ilvl="0" w:tplc="482845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508514">
    <w:abstractNumId w:val="135085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02207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