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ANDRÁS MILÁNKOVICH</w:t>
            </w:r>
          </w:p>
          <w:p w:rsidR="00C275A3" w:rsidRDefault="00A96AEC" w:rsidP="00C275A3">
            <w:pPr>
              <w:pStyle w:val="Hallgatokepzes"/>
            </w:pPr>
            <w:r>
              <w:t>Legal studies</w:t>
            </w:r>
            <w:r>
              <w:br/>
            </w:r>
            <w:r w:rsidR="00E77B23">
              <w:t>Unified, 9. semester</w:t>
            </w:r>
          </w:p>
          <w:p w:rsidR="00C265CE" w:rsidRPr="009E5FF1" w:rsidRDefault="00E77B23" w:rsidP="00C275A3">
            <w:pPr>
              <w:pStyle w:val="Hallgatokepzes"/>
              <w:rPr>
                <w:b/>
                <w:caps/>
              </w:rPr>
            </w:pPr>
            <w:r>
              <w:t>Eötvös Loránd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István Kukorelli</w:t>
            </w:r>
          </w:p>
          <w:p w:rsidR="00DB4822" w:rsidRDefault="00DB4822" w:rsidP="00E11062">
            <w:pPr>
              <w:pStyle w:val="Konzulensek"/>
            </w:pPr>
            <w:r w:rsidRPr="00DB4822">
              <w:t>professor, ELTE ÁJK</w:t>
            </w:r>
          </w:p>
        </w:tc>
      </w:tr>
      <w:tr w:rsidR="00DB4822" w:rsidTr="00DB4822">
        <w:tc>
          <w:tcPr>
            <w:tcW w:w="9854" w:type="dxa"/>
          </w:tcPr>
          <w:p w:rsidR="00DB4822" w:rsidRPr="00DB4822" w:rsidRDefault="00DB4822" w:rsidP="004D7940">
            <w:pPr>
              <w:pStyle w:val="Konzulensek"/>
            </w:pPr>
            <w:r w:rsidRPr="00DB4822">
              <w:t>Imre Papp</w:t>
            </w:r>
          </w:p>
          <w:p w:rsidR="00DB4822" w:rsidRDefault="00DB4822" w:rsidP="00E11062">
            <w:pPr>
              <w:pStyle w:val="Konzulensek"/>
            </w:pPr>
            <w:r w:rsidRPr="00DB4822">
              <w:t>assistant professor, ELTE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dead right or a cradle of new possibilities? The right to petiton in present days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right to petititon can be found in the catalogue of fundamental rights of the Hungarian Constitution. Since the socialist era ended twenty years ago apparently not only the jurists and the Constitutional Court, but the legislator has also forgotten about this right.</w:t>
      </w:r>
    </w:p>
    <w:p>
      <w:pPr>
        <w:widowControl w:val="on"/>
        <w:pBdr/>
        <w:spacing w:before="240" w:after="240" w:line="240" w:lineRule="auto"/>
        <w:ind w:left="0" w:right="0"/>
        <w:jc w:val="left"/>
      </w:pPr>
      <w:r>
        <w:rPr>
          <w:color w:val="000000"/>
          <w:sz w:val="24"/>
          <w:szCs w:val="24"/>
        </w:rPr>
        <w:br/>
        <w:t xml:space="preserve">On the 1st january 2014 the Act CLXV on the right to petiton of 2013 entered into force. The Act aims to legislate the right to petition comprehensively. The starting point of the present paper is the belief that this right contains more perpectives and possibilities and with adequate rules, it could serve the society more accurately.</w:t>
      </w:r>
    </w:p>
    <w:p>
      <w:pPr>
        <w:widowControl w:val="on"/>
        <w:pBdr/>
        <w:spacing w:before="240" w:after="240" w:line="240" w:lineRule="auto"/>
        <w:ind w:left="0" w:right="0"/>
        <w:jc w:val="left"/>
      </w:pPr>
      <w:r>
        <w:rPr>
          <w:color w:val="000000"/>
          <w:sz w:val="24"/>
          <w:szCs w:val="24"/>
        </w:rPr>
        <w:br/>
        <w:t xml:space="preserve">With more adequate rules of the the right to petiton, the experiences and recommendations of the people could become known by the Government so they could be used to make legislation and execution better. The right to petition could serve as a weapon against corruption or as a tool to solve problems to individuals.</w:t>
      </w:r>
    </w:p>
    <w:p>
      <w:pPr>
        <w:widowControl w:val="on"/>
        <w:pBdr/>
        <w:spacing w:before="240" w:after="240" w:line="240" w:lineRule="auto"/>
        <w:ind w:left="0" w:right="0"/>
        <w:jc w:val="left"/>
      </w:pPr>
      <w:r>
        <w:rPr>
          <w:color w:val="000000"/>
          <w:sz w:val="24"/>
          <w:szCs w:val="24"/>
        </w:rPr>
        <w:t xml:space="preserve">In addition the paper contains the results of a survey – a sort of survey that has not been published in the past 15 years - which targets to show how the right to petiton functions in practice.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876109">
    <w:multiLevelType w:val="hybridMultilevel"/>
    <w:lvl w:ilvl="0" w:tplc="509874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876109">
    <w:abstractNumId w:val="7287610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4673991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