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TRÄGER ANIKÓ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Kukorelli István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ELTE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Lápossy Attila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Ultima ratio: az alkotmányosan korlátozott büntetőhatalom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annak bemutatása, hogy demokratikus jogállamban az egyén alapvető jogainak védelmét akkor segítheti elő hatékonyan az állam büntetőhatalma, ha az megfelelő alkotmányos garanciák között működik.</w:t>
      </w:r>
      <w:r>
        <w:rPr>
          <w:color w:val="000000"/>
          <w:sz w:val="24"/>
          <w:szCs w:val="24"/>
        </w:rPr>
        <w:br/>
        <w:t xml:space="preserve">A büntető igazságszolgáltatásra vonatkozó követelményeket illetően az Alkotmánybíróság kidolgozta az „alkotmányos büntetőjog” fogalmát. Ebbe beletartoznak a büntető anyagi és eljárásjog, valamint a büntetés-végrehajtás területére vonatkozó alapelvek is. Az állam ezekben a helyzetekben kerül abba a pozícióba, hogy az egyéni alapjogokat legintenzívebben érintő korlátozásokkal éljen, ezért kiemelten fontos e garanciák érvényesülése.</w:t>
      </w:r>
      <w:r>
        <w:rPr>
          <w:color w:val="000000"/>
          <w:sz w:val="24"/>
          <w:szCs w:val="24"/>
        </w:rPr>
        <w:br/>
        <w:t xml:space="preserve">A felsorolt részterületek közül vizsgálatom fókuszában a büntetőjogi tényállások megalkotására vonatkozó alkotmányos elvek tartalma, valamint azok érvényesülése, fórumrendszerbeli kikényszeríthetősége áll. Az alkotmányos büntetőjog szerteágazó rendszeréből azért a tényállásokon keresztül kívánom bemutatni e biztosítékok fontosságát, mert ezek adnak választ arra a kérdésre, hogy milyen magatartások kapcsán kerülhet sor büntetőjogi felelősség megállapítására. Ha egy magatartás nem szerepel a büntetendő cselekmények között, értelemszerűen fel sem merülhet azzal kapcsolatban a büntetőjogi felelősségre vonás kérdése. Ezért is alkotmányosan szükségszerű követelmény, hogy világos és pontosan előrelátható legyen, hogy mi minősül bűncselekménynek. Jogállamban nem lehet kiszámítatlanság, bizonytalanság abban, hogy milyen tényállás számít bűncselekménynek.</w:t>
      </w:r>
      <w:r>
        <w:rPr>
          <w:color w:val="000000"/>
          <w:sz w:val="24"/>
          <w:szCs w:val="24"/>
        </w:rPr>
        <w:br/>
        <w:t xml:space="preserve">Dolgozatomban arra a kérdésre is választ keresek, hogy az Alaptörvény rendelkezései és az Alkotmánybíróság gyakorlata által meghatározott alapjogi teszt alkalmazásába a büntetőjogi korlátozások ultima ratio jellege hogyan illeszkedik bele.</w:t>
      </w:r>
      <w:r>
        <w:rPr>
          <w:color w:val="000000"/>
          <w:sz w:val="24"/>
          <w:szCs w:val="24"/>
        </w:rPr>
        <w:br/>
        <w:t xml:space="preserve">A szankcionált magatartások között külön is meg kívánom vizsgálni azokat a helyzeteket, amikor a büntetendő tényállás nemcsak közvetve, a lehetséges jogkövetkezményei miatt érintheti az egyén személyes szabadságát vagy más alapjogait, hanem közvetlenül szabadságjog korlátozásával is jár, így például a véleménynyilvánítás szabadsága esetében.</w:t>
      </w:r>
      <w:r>
        <w:rPr>
          <w:color w:val="000000"/>
          <w:sz w:val="24"/>
          <w:szCs w:val="24"/>
        </w:rPr>
        <w:br/>
        <w:t xml:space="preserve">Dolgozatomban vizsgálom a kikényszeríthetőség területét, hogy milyen lehetőségek állnak rendelkezésre abban az esetben, ha büntetőjogi tényállások megalkotásakor figyelmen kívül hagyják a garanciákat, és így alapjogsértő, alkotmányosan aggályos helyzet áll fenn. Kulcskérdésnek tekinthető ugyanis, hogy ilyen esetekben hogyan és milyen fórum előtt van mód az egyéni jogsérelmek valós orvoslására.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730628">
    <w:multiLevelType w:val="hybridMultilevel"/>
    <w:lvl w:ilvl="0" w:tplc="806172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730628">
    <w:abstractNumId w:val="447306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50968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