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TRÄGER</w:t>
            </w:r>
          </w:p>
          <w:p w:rsidR="00C275A3" w:rsidRDefault="00A96AEC" w:rsidP="00C275A3">
            <w:pPr>
              <w:pStyle w:val="Hallgatokepzes"/>
            </w:pPr>
            <w:r>
              <w:t>studies of law</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Kukorelli dr.</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Attila Lápossy dr.</w:t>
            </w:r>
          </w:p>
          <w:p w:rsidR="00DB4822" w:rsidRDefault="00DB4822" w:rsidP="00E11062">
            <w:pPr>
              <w:pStyle w:val="Konzulensek"/>
            </w:pPr>
            <w:r w:rsidRPr="00DB4822">
              <w:t> 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Ultima ratio: the constitutional limits of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Criminal law must be in line with the state’s constitutional requirements. Every criminal prohibition stated by law resrticts fundamental rights. At the same time, one of the main objectives of criminal prohibitions is the protection of other basic constitutional rights and freedoms.</w:t>
      </w:r>
      <w:r>
        <w:rPr>
          <w:color w:val="000000"/>
          <w:sz w:val="24"/>
          <w:szCs w:val="24"/>
        </w:rPr>
        <w:br/>
        <w:t xml:space="preserve">In my essay I focus on the criminal prohibitions in the light of the constitutional requirements. The restriction of the freedom of expression is one of the most sensitive issues related to criminal prohibitions. The Hungarian Constitutional Court has reviewed several criminal prohibitions regardingthe freedom of speech and has used it’s test based on the principle of proportionality in different ways.</w:t>
      </w:r>
      <w:r>
        <w:rPr>
          <w:color w:val="000000"/>
          <w:sz w:val="24"/>
          <w:szCs w:val="24"/>
        </w:rPr>
        <w:br/>
        <w:t xml:space="preserve">It is important to note that there is a strong connection between criminal law and constitutional law. The criminal prohibition is always a last resort in the law while the limitation of fundamental rights must be proportionate. These clear requirements form the limits of the legislation and the criminal law itself.</w:t>
      </w:r>
      <w:r>
        <w:rPr>
          <w:color w:val="000000"/>
          <w:sz w:val="24"/>
          <w:szCs w:val="24"/>
        </w:rPr>
        <w:br/>
        <w:t xml:space="preserve">In the case of the violation of these constitutional reqiurements the effective remedy must be warranted by the Constitutional Court and the European Court of Human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99355">
    <w:multiLevelType w:val="hybridMultilevel"/>
    <w:lvl w:ilvl="0" w:tplc="45837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99355">
    <w:abstractNumId w:val="58199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952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