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GEORGINA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Hack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Tilalmak és szabadság a büntető bizonyításra vetítve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bizonyítás kedvelt téma a jogirodalomban, minthogy sokak szerint a bizonyítás a legfontosabb része a büntetőeljárásnak. A bizonyítási tilalmak és a szabad bizonyítás kérdésköre azonban nem igazán köti le a szerzők érdeklődését, az ilyen tárgyú tanulmányok ritkák.</w:t>
      </w:r>
      <w:r>
        <w:rPr>
          <w:color w:val="000000"/>
          <w:sz w:val="24"/>
          <w:szCs w:val="24"/>
        </w:rPr>
        <w:br/>
        <w:t xml:space="preserve">A dolgozat célja annak bemutatása, hogy ma Magyarországon a bizonyítás szabadsága miként jelenik meg és a tilalmak megsértésének mik a következményei. Tárgyalja, hogy a bizonyítás mire, milyen tényekre terjed ki, mindez elengedhetetlen ahhoz, hogy főképpen a bizonyítási tilalmaknál érzékelhető legyen ennek a korlátnak a jelentősége. A bizonyítást átható speciális elvek révén jut majd el a bizonyítás tilalmának és szabadságának a definiálásához. A bizonyítási szabadság és tilalmak kérdéseinek a feldolgozása azért szükséges, mert az ezeknek a megsértésével nyert bizonyítékok nem járulhatnak hozzá a bizonyítás sikerességéhez.</w:t>
      </w:r>
      <w:r>
        <w:rPr>
          <w:color w:val="000000"/>
          <w:sz w:val="24"/>
          <w:szCs w:val="24"/>
        </w:rPr>
        <w:br/>
        <w:t xml:space="preserve">Hipotézise, hogy eljárási szabálysértéshez vezethetnek, mely megalapozatlanságot eredményez. Kiemeli, hogy a szabályozatlanság miért nem lehet táptalaja a törvénysértésnek, ugyanis tisztázni és szabályozni kell a visszaélésekre alkalmat adó eseteket. A bírósági ítélet csak olyan eljárásban lehet hiteles, amely mentes mindenféle törvénysértéstől.</w:t>
      </w:r>
      <w:r>
        <w:rPr>
          <w:color w:val="000000"/>
          <w:sz w:val="24"/>
          <w:szCs w:val="24"/>
        </w:rPr>
        <w:br/>
        <w:t xml:space="preserve">A dolgozat végkövetkeztetése szerint a pontos, precíz szabályok lefektetése nem jelenti azt, hogy nem fordulhat elő törvénysértés, ugyanakkor lényegesen kevesebb teret ad neki. Bemutatja, hogy a fő cél az igazságszolgáltatás kudarcát kikerülni: a tényeket helyesen megállapítani és megalapozott ítéleteket hozni.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85401">
    <w:multiLevelType w:val="hybridMultilevel"/>
    <w:lvl w:ilvl="0" w:tplc="82946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85401">
    <w:abstractNumId w:val="16685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680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