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PALKÓ GÁBOR FERENC</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Király Eszter</w:t>
            </w:r>
          </w:p>
          <w:p w:rsidR="00DB4822" w:rsidRDefault="00DB4822" w:rsidP="00E11062">
            <w:pPr>
              <w:pStyle w:val="Konzulensek"/>
            </w:pPr>
            <w:r w:rsidRPr="00DB4822">
              <w:t>egyetemi tanársegéd,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szajoli vasúti baleset utáni büntetőeljárás, különös tekintettel a szakértői bizonyításra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Húsz éve, 1994. december 2-án történt az utóbbi idők legsúlyosabb vasúti katasztrófája, a Jász-Nagykun-Szolnok megyei Szajol község vasútállomásán. Egy szabálytalan tolatási művelet során hibás állásba állítódott váltó miatt az állomáson áthaladó gyorsvonat kisiklott és, az állomás felvételi épületébe csapódva, kioltotta 31 ember életét.</w:t>
      </w:r>
    </w:p>
    <w:p>
      <w:pPr>
        <w:widowControl w:val="on"/>
        <w:pBdr/>
        <w:spacing w:before="240" w:after="240" w:line="240" w:lineRule="auto"/>
        <w:ind w:left="0" w:right="0"/>
        <w:jc w:val="left"/>
      </w:pPr>
      <w:r>
        <w:rPr>
          <w:color w:val="000000"/>
          <w:sz w:val="24"/>
          <w:szCs w:val="24"/>
        </w:rPr>
        <w:t xml:space="preserve">Már az első vizsgálatok alapján nyilvánvalóvá vált, hogy a műszaki hiba mellett emberi mulasztás okozta a tragédiát. A baleset miatt három személyt letöltendő szabadságvesztéssel sújtott a bíróság.</w:t>
      </w:r>
    </w:p>
    <w:p>
      <w:pPr>
        <w:widowControl w:val="on"/>
        <w:pBdr/>
        <w:spacing w:before="240" w:after="240" w:line="240" w:lineRule="auto"/>
        <w:ind w:left="0" w:right="0"/>
        <w:jc w:val="left"/>
      </w:pPr>
      <w:r>
        <w:rPr>
          <w:color w:val="000000"/>
          <w:sz w:val="24"/>
          <w:szCs w:val="24"/>
        </w:rPr>
        <w:t xml:space="preserve">Az eljárást a MÁV dokumentumok tükrében megvizsgálva azonban súlyos, az egész büntetőeljárást a mai napig is érintő eljárásjogi problémák vetődnek fel, különösképpen a szakértői bizonyítást illetően.</w:t>
      </w:r>
    </w:p>
    <w:p>
      <w:pPr>
        <w:widowControl w:val="on"/>
        <w:pBdr/>
        <w:spacing w:before="240" w:after="240" w:line="240" w:lineRule="auto"/>
        <w:ind w:left="0" w:right="0"/>
        <w:jc w:val="left"/>
      </w:pPr>
      <w:r>
        <w:rPr>
          <w:color w:val="000000"/>
          <w:sz w:val="24"/>
          <w:szCs w:val="24"/>
        </w:rPr>
        <w:t xml:space="preserve">A szakértő személye, ismeretei, és különösképpen a megállapításai az eljárást döntően befolyásoló tényezők. Az esetek többségében a bíróság a szakértői névjegyzékből választja ki a megfelelő szakképzettséggel bíró szakértőt, ha vele szemben a törvény szerinti kizárási ok nem áll fent. Ha ilyen személy nincsen, akkor eseti szakértő kirendelésére kerül sor.</w:t>
      </w:r>
    </w:p>
    <w:p>
      <w:pPr>
        <w:widowControl w:val="on"/>
        <w:pBdr/>
        <w:spacing w:before="240" w:after="240" w:line="240" w:lineRule="auto"/>
        <w:ind w:left="0" w:right="0"/>
        <w:jc w:val="left"/>
      </w:pPr>
      <w:r>
        <w:rPr>
          <w:color w:val="000000"/>
          <w:sz w:val="24"/>
          <w:szCs w:val="24"/>
        </w:rPr>
        <w:t xml:space="preserve">A szajoli esetben is ez történt, amely miatt az eljárás során bizonyos tények nem kerültek a bíróság figyelmébe. A vasút világa ugyanis, a kívülálló személy számára, még akkor is, ha valamilyen társtudomány kiváló ismerője, túlszabályozott és túlbonyolított. Az írott szabályokon túli „vasúti szokásjog” pedig megismerhetetlen az elméleti szakember számára. További veszélyforrás az is, hogy a szakértő állításait a szakképzetlen bíróság ítéli meg.</w:t>
      </w:r>
    </w:p>
    <w:p>
      <w:pPr>
        <w:widowControl w:val="on"/>
        <w:pBdr/>
        <w:spacing w:before="240" w:after="240" w:line="240" w:lineRule="auto"/>
        <w:ind w:left="0" w:right="0"/>
        <w:jc w:val="left"/>
      </w:pPr>
      <w:r>
        <w:rPr>
          <w:color w:val="000000"/>
          <w:sz w:val="24"/>
          <w:szCs w:val="24"/>
        </w:rPr>
        <w:t xml:space="preserve">Dolgozatom rámutat arra, hogy bizonyos területeken (mint amilyen az általam vizsgált vasúti is) a szakértő a büntetőeljárás kritikus pontja, hiszen a szükséges szaktudást, valamint a gyakorlati ismereteket csak azon a területen működve lehet megszerezni, ahol később a tényleges szakértés is történik. A vasútnál az a szakértő nyújtja a baleset megismeréséhez szükséges tényeket, amely vasúttársasággal (rosszabb esetben a konkurensével) történt az eset. Amíg a vizsgálandó baleset nem veti fel a vasút felelősségét, addig a bíróság az elfogultság felett szemet huny… A Szajolhoz hasonló esetekben pedig olyan elméleti szakembert kér fel, aki a vasúttól teljesen idegen, de emiatt gyakorlati ismeretekkel sem bír.</w:t>
      </w:r>
    </w:p>
    <w:p>
      <w:pPr>
        <w:widowControl w:val="on"/>
        <w:pBdr/>
        <w:spacing w:before="240" w:after="240" w:line="240" w:lineRule="auto"/>
        <w:ind w:left="0" w:right="0"/>
        <w:jc w:val="left"/>
      </w:pPr>
      <w:r>
        <w:rPr>
          <w:color w:val="000000"/>
          <w:sz w:val="24"/>
          <w:szCs w:val="24"/>
        </w:rPr>
        <w:t xml:space="preserve">Munkámban igyekszem megmutatni, hogy milyen lehetőségek állnak a jogalkotó előtt a probléma megoldására.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36971">
    <w:multiLevelType w:val="hybridMultilevel"/>
    <w:lvl w:ilvl="0" w:tplc="92577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36971">
    <w:abstractNumId w:val="57736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555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