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FERENC PALKÓ</w:t>
            </w:r>
          </w:p>
          <w:p w:rsidR="00C275A3" w:rsidRDefault="00A96AEC" w:rsidP="00C275A3">
            <w:pPr>
              <w:pStyle w:val="Hallgatokepzes"/>
            </w:pPr>
            <w:r>
              <w:t>Master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Király</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criminal procedures, especially the expert's report, following the railway accident at Szajol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Twenty years ago, on 2nd December 1994, the most tragic railway accident of late occurred at the train station of Szajol, Jász-Nagykun-Szolnok megye. During an irregular shunting a switch was positioned incorrectly, due to which an express train passing through the train station derailed, crashing into the station building and killing 31 people.</w:t>
      </w:r>
    </w:p>
    <w:p>
      <w:pPr>
        <w:widowControl w:val="on"/>
        <w:pBdr/>
        <w:spacing w:before="240" w:after="240" w:line="240" w:lineRule="auto"/>
        <w:ind w:left="0" w:right="0"/>
        <w:jc w:val="left"/>
      </w:pPr>
      <w:r>
        <w:rPr>
          <w:color w:val="000000"/>
          <w:sz w:val="24"/>
          <w:szCs w:val="24"/>
        </w:rPr>
        <w:t xml:space="preserve">It became apparent after the first inspection already that, beyond technical malfunctioning, human omission contributed to the accident. Three people found guilty were sentenced to prison.</w:t>
      </w:r>
    </w:p>
    <w:p>
      <w:pPr>
        <w:widowControl w:val="on"/>
        <w:pBdr/>
        <w:spacing w:before="240" w:after="240" w:line="240" w:lineRule="auto"/>
        <w:ind w:left="0" w:right="0"/>
        <w:jc w:val="left"/>
      </w:pPr>
      <w:r>
        <w:rPr>
          <w:color w:val="000000"/>
          <w:sz w:val="24"/>
          <w:szCs w:val="24"/>
        </w:rPr>
        <w:t xml:space="preserve">Examining the proceedings through the MÁV (Hungarian State Railways) documents, however, reveals several severe procedural problems, especially regarding the appointment of experts, that affects procedural law to this day.</w:t>
      </w:r>
    </w:p>
    <w:p>
      <w:pPr>
        <w:widowControl w:val="on"/>
        <w:pBdr/>
        <w:spacing w:before="240" w:after="240" w:line="240" w:lineRule="auto"/>
        <w:ind w:left="0" w:right="0"/>
        <w:jc w:val="left"/>
      </w:pPr>
      <w:r>
        <w:rPr>
          <w:color w:val="000000"/>
          <w:sz w:val="24"/>
          <w:szCs w:val="24"/>
        </w:rPr>
        <w:t xml:space="preserve">The expert's person, expertise, and - to the greatest extent - ascertainments are critical for the judiciary proceedings. Ordinarily, the court chooses a properly qualified expert from the register, provided there is no legal reason for disqualification. If there is no such individual, an ad-hoc expert is assigned.</w:t>
      </w:r>
    </w:p>
    <w:p>
      <w:pPr>
        <w:widowControl w:val="on"/>
        <w:pBdr/>
        <w:spacing w:before="240" w:after="240" w:line="240" w:lineRule="auto"/>
        <w:ind w:left="0" w:right="0"/>
        <w:jc w:val="left"/>
      </w:pPr>
      <w:r>
        <w:rPr>
          <w:color w:val="000000"/>
          <w:sz w:val="24"/>
          <w:szCs w:val="24"/>
        </w:rPr>
        <w:t xml:space="preserve">The latter happened in the Szajol case, due to which certain facts escaped observation in the court. The world of rail transport is convolutedly regulated and overly complex, especially for outsiders, even if they happen to be experts in a related discipline. Beyond written regulations, there is an extensive "railway customary law" that is unknowable to theoreticians. It causes further problems that the expert's report is evaluated by an unskilled court.</w:t>
      </w:r>
    </w:p>
    <w:p>
      <w:pPr>
        <w:widowControl w:val="on"/>
        <w:pBdr/>
        <w:spacing w:before="240" w:after="240" w:line="240" w:lineRule="auto"/>
        <w:ind w:left="0" w:right="0"/>
        <w:jc w:val="left"/>
      </w:pPr>
      <w:r>
        <w:rPr>
          <w:color w:val="000000"/>
          <w:sz w:val="24"/>
          <w:szCs w:val="24"/>
        </w:rPr>
        <w:t xml:space="preserve">My paper points out that consulting an expert in certain cases (such as the railway accident above) is crucial for criminal proceedings, for the knowledge necessary to become a expert can only be obtained by working in the same field. In rail transportation, the expert whose expertise can provide crucial information regarding an accident most probably has ties to the very same railway service provider (or in worse cases to a competitor) involved in the case. Until the railway company is not proven liable, the court is ready to overlook partiality... Otherwise, the expert consulted may be impartial, they lack any practical knowledge.</w:t>
      </w:r>
    </w:p>
    <w:p>
      <w:pPr>
        <w:widowControl w:val="on"/>
        <w:pBdr/>
        <w:spacing w:before="240" w:after="240" w:line="240" w:lineRule="auto"/>
        <w:ind w:left="0" w:right="0"/>
        <w:jc w:val="left"/>
      </w:pPr>
      <w:r>
        <w:rPr>
          <w:color w:val="000000"/>
          <w:sz w:val="24"/>
          <w:szCs w:val="24"/>
        </w:rPr>
        <w:t xml:space="preserve">In my paper, I aim to show possible solutions to the problem available to legislators.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61220">
    <w:multiLevelType w:val="hybridMultilevel"/>
    <w:lvl w:ilvl="0" w:tplc="45742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61220">
    <w:abstractNumId w:val="42261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413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