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ÉVA BÉNYEI</w:t>
            </w:r>
          </w:p>
          <w:p w:rsidR="00C275A3" w:rsidRDefault="00A96AEC" w:rsidP="00C275A3">
            <w:pPr>
              <w:pStyle w:val="Hallgatokepzes"/>
            </w:pPr>
            <w:r>
              <w:t/>
            </w:r>
            <w:r>
              <w:br/>
            </w:r>
            <w:r w:rsidR="00E77B23">
              <w:t>High school student</w:t>
            </w:r>
          </w:p>
          <w:p w:rsidR="00C265CE" w:rsidRPr="009E5FF1" w:rsidRDefault="00E77B23" w:rsidP="009763E0">
            <w:pPr>
              <w:pStyle w:val="Hallgatointezmeny-kar"/>
              <w:rPr>
                <w:b/>
                <w:caps/>
              </w:rPr>
            </w:pPr>
            <w:r>
              <w:t>Kossuth Lajos Secondary Grammar School of the University of Debrecen</w:t>
            </w:r>
            <w:r w:rsidR="00C275A3">
              <w:br/>
            </w:r>
            <w:r w:rsidR="00DB4822">
              <w:t/>
            </w:r>
          </w:p>
        </w:tc>
        <w:tc>
          <w:tcPr>
            <w:tcW w:w="4914" w:type="dxa"/>
          </w:tcPr>
          <w:p w:rsidR="00DB4822" w:rsidRPr="00DB4822" w:rsidRDefault="00DB4822" w:rsidP="004D7940">
            <w:pPr>
              <w:pStyle w:val="Hallgatonev"/>
              <w:rPr>
                <w:caps/>
              </w:rPr>
            </w:pPr>
            <w:r w:rsidRPr="00DB4822">
              <w:rPr>
                <w:caps/>
              </w:rPr>
              <w:t>KATA ANTÓNIA BÓDI</w:t>
            </w:r>
          </w:p>
          <w:p w:rsidR="00DB4822" w:rsidRDefault="00C275A3" w:rsidP="004D7940">
            <w:pPr>
              <w:pStyle w:val="Hallgatokepzes"/>
            </w:pPr>
            <w:r>
              <w:t/>
            </w:r>
            <w:r w:rsidR="00A96AEC">
              <w:br/>
              <w:t>High school student</w:t>
            </w:r>
          </w:p>
          <w:p w:rsidR="00DB4822" w:rsidRDefault="00DB4822" w:rsidP="004D7940">
            <w:pPr>
              <w:pStyle w:val="Hallgatointezmeny-kar"/>
            </w:pPr>
            <w:r>
              <w:t>Kossuth Lajos Secondary Grammar School of the University of Debrecen</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w:t>
            </w:r>
            <w:r>
              <w:t>temavezeto_nev</w:t>
            </w:r>
            <w:r w:rsidRPr="00DB4822">
              <w:t>$</w:t>
            </w:r>
          </w:p>
          <w:p w:rsidR="00DB4822" w:rsidRDefault="00DB4822" w:rsidP="009763E0">
            <w:pPr>
              <w:pStyle w:val="Konzulensektitulus"/>
            </w:pPr>
            <w:r w:rsidRPr="00DB4822">
              <w:t>$</w:t>
            </w:r>
            <w:r>
              <w:t>temavezeto_beosztas</w:t>
            </w:r>
            <w:r w:rsidRPr="00DB4822">
              <w:t>$,$temavezeto_munkahely$</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secrets of bioluminescence: possibilities offered by Lux genes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Nowadays synthetic biology is getting more and more attention. We found a part of the DNA of Vibrio Fischeri called Lux Operon in the iGEM Parts Registry which is a library of designed biological systems available to everyone. Vibrio Fischeri is a bioluminescent bacterium living in symbiosis with the bobtail squid (Euprymna scolopes). Lux Operon is under arabinose regulation. It consists of six parts and encodes genes for the production of proteins necessary for photon emission.</w:t>
      </w:r>
    </w:p>
    <w:p>
      <w:pPr>
        <w:widowControl w:val="on"/>
        <w:pBdr/>
        <w:spacing w:before="240" w:after="240" w:line="240" w:lineRule="auto"/>
        <w:ind w:left="0" w:right="0"/>
        <w:jc w:val="left"/>
      </w:pPr>
      <w:r>
        <w:rPr>
          <w:color w:val="000000"/>
          <w:sz w:val="24"/>
          <w:szCs w:val="24"/>
        </w:rPr>
        <w:br/>
        <w:t xml:space="preserve">First our purpose was to create bioluminescent E. coli by transforming Lux Operon. Then we would have liked to design and realize a brand new system from these lightening bacteria using zinc fingers.</w:t>
      </w:r>
    </w:p>
    <w:p>
      <w:pPr>
        <w:widowControl w:val="on"/>
        <w:pBdr/>
        <w:spacing w:before="240" w:after="240" w:line="240" w:lineRule="auto"/>
        <w:ind w:left="0" w:right="0"/>
        <w:jc w:val="left"/>
      </w:pPr>
      <w:r>
        <w:rPr>
          <w:color w:val="000000"/>
          <w:sz w:val="24"/>
          <w:szCs w:val="24"/>
        </w:rPr>
        <w:t xml:space="preserve">In the first part of our experiments we applied a modified version of a well known transformation protocol to import the plasmid which contains Lux Operon and genes for chloramphenicol resistance into E. coli. The samples were incubated for 40 hours at 28°C on special plates which contained LB-agar, MQ water, chloramphenicol and arabinose. Then we made bacterial cultures which were shaken overnight at also 28°C to prevent denaturation of the proteins necessary for photon emission reaction. After some time, all of the samples were glowing with greenish colour!</w:t>
      </w:r>
    </w:p>
    <w:p>
      <w:pPr>
        <w:widowControl w:val="on"/>
        <w:pBdr/>
        <w:spacing w:before="240" w:after="240" w:line="240" w:lineRule="auto"/>
        <w:ind w:left="0" w:right="0"/>
        <w:jc w:val="left"/>
      </w:pPr>
      <w:r>
        <w:rPr>
          <w:color w:val="000000"/>
          <w:sz w:val="24"/>
          <w:szCs w:val="24"/>
        </w:rPr>
        <w:t xml:space="preserve">In the second part of our research we stabilized the system as the weakness of the original one was that after a certain time (~ 22 h) the system didn’t work, didn’t glow. We found out that its possible cause can be the substrate of the process which is the bacteria’s fatty acid. Based on literature data we made a hypothesis that if myristic acid (14:0) is added to the system, it will replace one of the intermediers of the reaction. As a result we expected the system would be able to glow for much longer time. The experiments proved that the hypothesis was right, so the drawback of the system had been eliminated.</w:t>
      </w:r>
    </w:p>
    <w:p>
      <w:pPr>
        <w:widowControl w:val="on"/>
        <w:pBdr/>
        <w:spacing w:before="240" w:after="240" w:line="240" w:lineRule="auto"/>
        <w:ind w:left="0" w:right="0"/>
        <w:jc w:val="left"/>
      </w:pPr>
      <w:r>
        <w:rPr>
          <w:color w:val="000000"/>
          <w:sz w:val="24"/>
          <w:szCs w:val="24"/>
        </w:rPr>
        <w:t xml:space="preserve">Right now we are in the third part of our project. In these experiments, we are working with zinc fingers which are proteins. According to our hypothesis if the Lux proteins are fused with zinc fingers one by one and with these “new” parts they are linked next to each other along a strand of DNA, they will work similarly as a conveyor belt for substrates and the photon emission will be quicker, more intense and more reproducible. We have already planed a brand new plasmid to combine Lux proteins and zinc fingers and the primers have been ordered.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814431">
    <w:multiLevelType w:val="hybridMultilevel"/>
    <w:lvl w:ilvl="0" w:tplc="320110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814431">
    <w:abstractNumId w:val="8281443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1837026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