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ANDRÁSI RÉKA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Révész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10–11. századi fülesgombok tipokronológiája Hajdú-Bihar megye és Rétköz területén. Újabb adatok a honfoglalás kori viselet kérdéséhez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Kárpát-medencében a 10–11. század során a viselet fontos elemét alkották a fülesgombok, melyek minden társadalmi réteg ruházatán megfigyelhetőek és keleti eredetűeknek tarthatóak. Ezen apró tárgyakra a szakirodalom igen csekély figyelmet szánt, mivel a korábbi elemzésekben a nemesfémből készült ruhadíszek, veretek kerültek előtérbe.</w:t>
      </w:r>
      <w:r>
        <w:rPr>
          <w:color w:val="000000"/>
          <w:sz w:val="24"/>
          <w:szCs w:val="24"/>
        </w:rPr>
        <w:br/>
        <w:t xml:space="preserve">Dolgozatom első részében Hajdú-Bihar megye és Rétköz területén modern módszerekkel feltárt és dokumentált 10–11. századi temetők sírjaiból előkerült fülesgombokat mutatom be (Hajdúszoboszló-Árkoshalom, Püspökladány-Eperjesvölgy és Sárrétudvari-Hízóföld, valamint Rétköz területén Ibrány-Esbó-halom). Foglalkozom technikai kivitelükkel, mely témában archeometriai vizsgálatokat végeztünk, hisz az üregesen öntött darabok esetében valamiféle kitöltő anyag jelentkezett a félgombok belsejében, s ennek az anyagnak a meghatározása céljából történtek a különböző vizsgálatok.</w:t>
      </w:r>
      <w:r>
        <w:rPr>
          <w:color w:val="000000"/>
          <w:sz w:val="24"/>
          <w:szCs w:val="24"/>
        </w:rPr>
        <w:br/>
        <w:t xml:space="preserve">Anyaggyűjtésem során szükségessé vált egy új tipológiai rendszer kialakítása, ugyanis e tárgycsoport tipokronológiai vizsgálata mindeddig nem történt meg.</w:t>
      </w:r>
      <w:r>
        <w:rPr>
          <w:color w:val="000000"/>
          <w:sz w:val="24"/>
          <w:szCs w:val="24"/>
        </w:rPr>
        <w:br/>
        <w:t xml:space="preserve">Külön fejezetben tárgyalom a fülesgombok díszítési módjait, melyeket formai variánsok szerint különítettem el. Gyűjtésem során sikerült egy, kizárólag a 11. századra jellemző díszítési módot kimutatni az általam elemzett területen.</w:t>
      </w:r>
      <w:r>
        <w:rPr>
          <w:color w:val="000000"/>
          <w:sz w:val="24"/>
          <w:szCs w:val="24"/>
        </w:rPr>
        <w:br/>
        <w:t xml:space="preserve">Tanulmányoztam azt is, hogy a vizsgált tárgytípus különböző formai változatai hogyan fordulnak elő a különböző nemű és életkorú egyének öltözékén. Az elemzett temetők esetében a női sírokban jelentkeztek legnagyobb számban, azonban a 10. században még a férfiak temetkezéseiben is jelen voltak. A 11. században csupán női és gyermek sírokban fordultak elő.</w:t>
      </w:r>
      <w:r>
        <w:rPr>
          <w:color w:val="000000"/>
          <w:sz w:val="24"/>
          <w:szCs w:val="24"/>
        </w:rPr>
        <w:br/>
        <w:t xml:space="preserve">Kutatásaim eredményeként beszámolok a fülesgombok formai variációinak időbeli megjelenéséről, elterjedéséről is a fentebb említett 10–11. századi temetőkben, illetve a különböző társadalmi rétegeknél való előfordulásukra is kitérek.</w:t>
      </w:r>
      <w:r>
        <w:rPr>
          <w:color w:val="000000"/>
          <w:sz w:val="24"/>
          <w:szCs w:val="24"/>
        </w:rPr>
        <w:br/>
        <w:t xml:space="preserve">Dolgozatom második részében a fülesgombok viseletben betöltött szerepét mutatom be. Vizsgálataimhoz ez esetben nemcsak Hajdú-Bihar megye és Rétköz temetőit használtam fel, hanem a Kárpát-medence különböző területein előkerült, fülesgombokat tartalmazó, jól dokumentált 10. századi temetkezéseket is. Konklúzióként megállapítható, hogy a több gombbal záródó viselet a 10. század végéig jelen volt, azonban a 11. században már csak egy, esetleg két fülesgomb kapcsolta össze a ruházatot. Mindez jelzi a keleti típusú viselet lassú eltűnését a 11. századi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20195">
    <w:multiLevelType w:val="hybridMultilevel"/>
    <w:lvl w:ilvl="0" w:tplc="60395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20195">
    <w:abstractNumId w:val="526201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884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