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OZSVÁRT</w:t>
            </w:r>
          </w:p>
          <w:p w:rsidR="00C275A3" w:rsidRDefault="00A96AEC" w:rsidP="00C275A3">
            <w:pPr>
              <w:pStyle w:val="Hallgatokepzes"/>
            </w:pPr>
            <w:r>
              <w:t>Musicology</w:t>
            </w:r>
            <w:r>
              <w:br/>
            </w:r>
            <w:r w:rsidR="00E77B23">
              <w:t>MA, 3. semester</w:t>
            </w:r>
          </w:p>
          <w:p w:rsidR="00C265CE" w:rsidRPr="009E5FF1" w:rsidRDefault="00E77B23" w:rsidP="009763E0">
            <w:pPr>
              <w:pStyle w:val="Hallgatointezmeny-kar"/>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Adrienne Kaczmarczyk</w:t>
            </w:r>
          </w:p>
          <w:p w:rsidR="00DB4822" w:rsidRDefault="00DB4822" w:rsidP="009763E0">
            <w:pPr>
              <w:pStyle w:val="Konzulensektitulus"/>
            </w:pPr>
            <w:r w:rsidRPr="00DB4822">
              <w:t>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Classicism and modernity in Mendelssohn's and Liszt's cantatas An die Künstler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first half of the 19th century paradigmatic changes occured both in the society and in arts. Changes in the structure of politics and social life made the reconsidering of the function of arts necessary. The beauty-centered classical idealism had been replaced by the realism, which aspired to emancipate ugliness. This procession reflects also in the cultural discussions of that time.</w:t>
      </w:r>
      <w:r>
        <w:rPr>
          <w:color w:val="000000"/>
          <w:sz w:val="24"/>
          <w:szCs w:val="24"/>
        </w:rPr>
        <w:br/>
        <w:t xml:space="preserve">Felix Mendelssohn Bartholdy and Franz Liszt, two outstanding romantic componists set to music the ode An die Künstler written by Friedrich Schiller, one of the leading figures of german idealism. Although only seven years passed between the two settings, the stylistic elements of the cantatas imply rather different aesthetic conceptions. It is well known, that Mendelssohn had great respect for the predecessors, and its effect can be felt in his compositions. Liszt’s musical way, which was mocked as the „music of the future” by some contemporaries, comes also from classical traditions, but it shows more originality than that of Mendelssohn. Liszt composed his cantata An die Künstler during his Weimar-period. At that time his main musical purpose was to carry on the legacy of Viennese and Weimarer classicism.</w:t>
      </w:r>
      <w:r>
        <w:rPr>
          <w:color w:val="000000"/>
          <w:sz w:val="24"/>
          <w:szCs w:val="24"/>
        </w:rPr>
        <w:br/>
        <w:t xml:space="preserve">In my essay I intend to highlight the similarities and differences of the aesthetic resolutions of the two composers, Mendelssohn and Liszt, by comparing their cantatas An die Künstler.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74573">
    <w:multiLevelType w:val="hybridMultilevel"/>
    <w:lvl w:ilvl="0" w:tplc="54767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74573">
    <w:abstractNumId w:val="99574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841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