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VERONIKA BÉKÉSSY</w:t>
            </w:r>
          </w:p>
          <w:p w:rsidR="00C275A3" w:rsidRDefault="00A96AEC" w:rsidP="00C275A3">
            <w:pPr>
              <w:pStyle w:val="Hallgatokepzes"/>
            </w:pPr>
            <w:r>
              <w:t>musicology</w:t>
            </w:r>
            <w:r>
              <w:br/>
            </w:r>
            <w:r w:rsidR="00E77B23">
              <w:t>MA, 3. semester</w:t>
            </w:r>
          </w:p>
          <w:p w:rsidR="00C265CE" w:rsidRPr="009E5FF1" w:rsidRDefault="00E77B23" w:rsidP="009763E0">
            <w:pPr>
              <w:pStyle w:val="Hallgatointezmeny-kar"/>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Adrienne Kaczmarczyk</w:t>
            </w:r>
          </w:p>
          <w:p w:rsidR="00DB4822" w:rsidRDefault="00DB4822" w:rsidP="009763E0">
            <w:pPr>
              <w:pStyle w:val="Konzulensektitulus"/>
            </w:pPr>
            <w:r w:rsidRPr="00DB4822">
              <w:t>professor,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Reception of Liszt’s Death-Related Works (1870–1910)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an understood thing that Franz Liszt gained international fame as a pianist however as a composer (especially with his innovative works) he did not have unambiguous success. Most of the critics were sharply arguing about his experimental death-related works, which could be the reason why he did not suggest in his last years the public performance of these works to his ambitious students eager to be famous. Around the turn of the century, not long after his death the musical taste changed: the student of Liszt and the ‘Liszt-grandchildren’ started to prefer performing his experimental death-related creations.</w:t>
      </w:r>
    </w:p>
    <w:p>
      <w:pPr>
        <w:widowControl w:val="on"/>
        <w:pBdr/>
        <w:spacing w:before="240" w:after="240" w:line="240" w:lineRule="auto"/>
        <w:ind w:left="0" w:right="0"/>
        <w:jc w:val="left"/>
      </w:pPr>
      <w:r>
        <w:rPr>
          <w:color w:val="000000"/>
          <w:sz w:val="24"/>
          <w:szCs w:val="24"/>
        </w:rPr>
        <w:br/>
        <w:t xml:space="preserve">Franz Liszt’s Hungarian reputation was ambivalent along the same lines with his international reception. Concerning his works one shared two types of judgements in Hungary: to be adored, or to be neglected. In the 1890’s the performances of Liszt’s works seemed to be an upsurge. In my study I examine how the opinions changed concerning Liszt’s death-related works and who’s names can be connected with the performances of his demonic music from the 1870’s to the 1910’s. I try to interpret also the characteristics of these works and their reception according to concert-programs.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28523">
    <w:multiLevelType w:val="hybridMultilevel"/>
    <w:lvl w:ilvl="0" w:tplc="20955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28523">
    <w:abstractNumId w:val="63828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610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