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ATTILA</w:t>
            </w:r>
          </w:p>
          <w:p w:rsidR="00C275A3" w:rsidRDefault="00A96AEC" w:rsidP="00C275A3">
            <w:pPr>
              <w:pStyle w:val="Hallgatokepzes"/>
            </w:pPr>
            <w:r>
              <w:t>Teológia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Szent Pál Akadémia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Rugási Gyula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 tanár, SZPA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Izrael Állam: üdvtörténeti szükségszerűség?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második világháborút követő évtizedekben valamennyi keresztény felekezet hivatalosan is visszavonta a szubsztitúciós teológia néven ismert, a kereszténységben a 4. századtól egyeduralkodó tanítást, amely Izrael, mint nemzet végleges elutasítását fogalmazta meg. Az évszázadok során ez a teológiai koncepció jelentős mértékben befolyásolta többek között az Egyház eszkhatológiai tanítását. Annak ellenére azonban, hogy a kereszténység szakított a szubsztitúció tannal, az általa befolyásolt részterületei a rendszeres teológiának nem kerültek revízió alá. Ezen belül az eszkhatológiára különösen igaz az, hogy mind a mai napig lényegileg befolyásolják a helyettesítési teológia által felállított előfeltevések.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 azonban az eszkhatologikus tanítást megtisztítjuk a szubsztitúciós teológiától, és az idevonatkozó bibliai utalásokat a behelyettesítés által létrehozott évszázados előítéletek nélkül tanulmányozzuk, akkor abból az alábbi következtetéseket vonhatjuk le.</w:t>
      </w:r>
    </w:p>
    <w:p>
      <w:pPr>
        <w:pStyle w:val="ListParagraphPHPDOCX"/>
        <w:numPr>
          <w:ilvl w:val="0"/>
          <w:numId w:val="22069094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Ha nem köt bennünket az Izrael végleges elvetésének kényszere, akkor nem szükséges az Izrael–Egyház allegóriát fenntartanunk az exegézisben. </w:t>
      </w:r>
    </w:p>
    <w:p>
      <w:pPr>
        <w:pStyle w:val="ListParagraphPHPDOCX"/>
        <w:numPr>
          <w:ilvl w:val="0"/>
          <w:numId w:val="22069094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szó szerinti exegézis alkalmazásával azonban felvetődik a messiási királyság ad litteram, földi megvalósulásának lehetősége, amelyet az Újszövetség Isten országáról szóló tanítása és a testi feltámadás hitvallása is alátámaszt. Ez egyenesen elvezet bennünket az ókeresztény hagyományban világosan jelenlévő millenarizmus újragondolásához is.</w:t>
      </w:r>
    </w:p>
    <w:p>
      <w:pPr>
        <w:pStyle w:val="ListParagraphPHPDOCX"/>
        <w:numPr>
          <w:ilvl w:val="0"/>
          <w:numId w:val="22069094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földön megvalósuló messiási birodalom, vagyis a politikai, gazdasági, kulturális, társadalmi értelemben megalakuló ezeréves királyság azonban elválaszthatatlan Izrael nemzeti szintű helyreállításának bibliai tanításától. Ezt a helyreállítást támasztja alá Pál apostol Róma levélben található okfejtése Izrael és az Egyház üdvtörténelemben betöltött szerepéről.</w:t>
      </w:r>
    </w:p>
    <w:p>
      <w:pPr>
        <w:pStyle w:val="ListParagraphPHPDOCX"/>
        <w:numPr>
          <w:ilvl w:val="0"/>
          <w:numId w:val="22069094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Végül pedig, ennek a dolgozatnak a fő kérdése tekintetében megállapítható az, hogy Izrael államának helyreállítása a fentiekből következően üdvtörténelmi szükségszerűség. A modern Izrael államának létezése olyan páratlan, nagy jelentőségű tény, amely hordozhat magában üdvtörténeti üzenetet, ezért ennek keresztény szempontú vizsgálata korunk elengedhetetlenül fontos feladata.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Egyház földi pályafutásának sikere szempontjából alapvető fontosságú annak megállapítása, hogy Izrael államának létezése valóban Krisztus visszajövetelét jelzi-e. Amennyiben igen, az Egyháznak fel kell készülnie a Vőlegény méltó fogadására.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069094">
    <w:multiLevelType w:val="hybridMultilevel"/>
    <w:lvl w:ilvl="0" w:tplc="89650505">
      <w:start w:val="1"/>
      <w:numFmt w:val="decimal"/>
      <w:lvlText w:val="%1."/>
      <w:lvlJc w:val="left"/>
      <w:pPr>
        <w:ind w:left="720" w:hanging="360"/>
      </w:pPr>
    </w:lvl>
    <w:lvl w:ilvl="1" w:tplc="89650505" w:tentative="1">
      <w:start w:val="1"/>
      <w:numFmt w:val="lowerLetter"/>
      <w:lvlText w:val="%2."/>
      <w:lvlJc w:val="left"/>
      <w:pPr>
        <w:ind w:left="1440" w:hanging="360"/>
      </w:pPr>
    </w:lvl>
    <w:lvl w:ilvl="2" w:tplc="89650505" w:tentative="1">
      <w:start w:val="1"/>
      <w:numFmt w:val="lowerRoman"/>
      <w:lvlText w:val="%3."/>
      <w:lvlJc w:val="right"/>
      <w:pPr>
        <w:ind w:left="2160" w:hanging="180"/>
      </w:pPr>
    </w:lvl>
    <w:lvl w:ilvl="3" w:tplc="89650505" w:tentative="1">
      <w:start w:val="1"/>
      <w:numFmt w:val="decimal"/>
      <w:lvlText w:val="%4."/>
      <w:lvlJc w:val="left"/>
      <w:pPr>
        <w:ind w:left="2880" w:hanging="360"/>
      </w:pPr>
    </w:lvl>
    <w:lvl w:ilvl="4" w:tplc="89650505" w:tentative="1">
      <w:start w:val="1"/>
      <w:numFmt w:val="lowerLetter"/>
      <w:lvlText w:val="%5."/>
      <w:lvlJc w:val="left"/>
      <w:pPr>
        <w:ind w:left="3600" w:hanging="360"/>
      </w:pPr>
    </w:lvl>
    <w:lvl w:ilvl="5" w:tplc="89650505" w:tentative="1">
      <w:start w:val="1"/>
      <w:numFmt w:val="lowerRoman"/>
      <w:lvlText w:val="%6."/>
      <w:lvlJc w:val="right"/>
      <w:pPr>
        <w:ind w:left="4320" w:hanging="180"/>
      </w:pPr>
    </w:lvl>
    <w:lvl w:ilvl="6" w:tplc="89650505" w:tentative="1">
      <w:start w:val="1"/>
      <w:numFmt w:val="decimal"/>
      <w:lvlText w:val="%7."/>
      <w:lvlJc w:val="left"/>
      <w:pPr>
        <w:ind w:left="5040" w:hanging="360"/>
      </w:pPr>
    </w:lvl>
    <w:lvl w:ilvl="7" w:tplc="89650505" w:tentative="1">
      <w:start w:val="1"/>
      <w:numFmt w:val="lowerLetter"/>
      <w:lvlText w:val="%8."/>
      <w:lvlJc w:val="left"/>
      <w:pPr>
        <w:ind w:left="5760" w:hanging="360"/>
      </w:pPr>
    </w:lvl>
    <w:lvl w:ilvl="8" w:tplc="896505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69092">
    <w:multiLevelType w:val="hybridMultilevel"/>
    <w:lvl w:ilvl="0" w:tplc="654939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069092">
    <w:abstractNumId w:val="22069092"/>
  </w:num>
  <w:num w:numId="22069094">
    <w:abstractNumId w:val="220690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03959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