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NAGY</w:t>
            </w:r>
          </w:p>
          <w:p w:rsidR="00C275A3" w:rsidRDefault="00A96AEC" w:rsidP="00C275A3">
            <w:pPr>
              <w:pStyle w:val="Hallgatokepzes"/>
            </w:pPr>
            <w:r>
              <w:t>Theology</w:t>
            </w:r>
            <w:r>
              <w:br/>
            </w:r>
            <w:r w:rsidR="00E77B23">
              <w:t>Unified, 7. semester</w:t>
            </w:r>
          </w:p>
          <w:p w:rsidR="00C265CE" w:rsidRPr="009E5FF1" w:rsidRDefault="00E77B23" w:rsidP="00C275A3">
            <w:pPr>
              <w:pStyle w:val="Hallgatokepzes"/>
              <w:rPr>
                <w:b/>
                <w:caps/>
              </w:rPr>
            </w:pPr>
            <w:r>
              <w:t>Szent Pál Academy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Gyula Rugasi</w:t>
            </w:r>
          </w:p>
          <w:p w:rsidR="00DB4822" w:rsidRDefault="00DB4822" w:rsidP="00E11062">
            <w:pPr>
              <w:pStyle w:val="Konzulensek"/>
            </w:pPr>
            <w:r w:rsidRPr="00DB4822">
              <w:t>professor, SZPA</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State of Israel: inevitable for salvation?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After the end of the 2nd World War all the Christians Churches have withdrawn officially the substitution theology which had became the main teaching of the Christianity for Israel and the Jews by the middle of the fourth century. The basic statement of this view, which is also called supersessionism, is that God has rejected Israel completely and permanently. This theology had certain effect on other areas of Systematic Theology, such as ecclesiology, soteriology and eschatology. Although every Christian Confessions have revised substitution, above mentioned theological areas that were affected by this false doctrine, still keep its basic considerations. Especially the eschatology of most of the Churches contains certain fundamental statements of substitution to these days.</w:t>
      </w:r>
    </w:p>
    <w:p>
      <w:pPr>
        <w:widowControl w:val="on"/>
        <w:pBdr/>
        <w:spacing w:before="240" w:after="240" w:line="240" w:lineRule="auto"/>
        <w:ind w:left="0" w:right="0"/>
        <w:jc w:val="left"/>
      </w:pPr>
      <w:r>
        <w:rPr>
          <w:color w:val="000000"/>
          <w:sz w:val="24"/>
          <w:szCs w:val="24"/>
        </w:rPr>
        <w:t xml:space="preserve">In my work I tried to lay down the basis for a Biblical eschatology which is free from any influence of substitution, by going through a logical rout from what all Christians agree on: God has not rejected Israel completely and permanently. The basic milestones of this rout are the following:</w:t>
      </w:r>
    </w:p>
    <w:p>
      <w:pPr>
        <w:pStyle w:val="ListParagraphPHPDOCX"/>
        <w:numPr>
          <w:ilvl w:val="0"/>
          <w:numId w:val="81665116"/>
        </w:numPr>
        <w:spacing w:before="0" w:after="0" w:line="240" w:lineRule="auto"/>
        <w:contextualSpacing/>
        <w:jc w:val="left"/>
        <w:rPr>
          <w:sz w:val="24"/>
          <w:szCs w:val="24"/>
        </w:rPr>
      </w:pPr>
      <w:r>
        <w:rPr>
          <w:color w:val="000000"/>
          <w:sz w:val="24"/>
          <w:szCs w:val="24"/>
        </w:rPr>
        <w:t xml:space="preserve">If Israel is not refused permanently, than we are not obliged to keep the Israel–Church allegory in exegesis any more, but may apply literal exegetic method instead.</w:t>
      </w:r>
    </w:p>
    <w:p>
      <w:pPr>
        <w:pStyle w:val="ListParagraphPHPDOCX"/>
        <w:numPr>
          <w:ilvl w:val="0"/>
          <w:numId w:val="81665116"/>
        </w:numPr>
        <w:spacing w:before="0" w:after="0" w:line="240" w:lineRule="auto"/>
        <w:contextualSpacing/>
        <w:jc w:val="left"/>
        <w:rPr>
          <w:sz w:val="24"/>
          <w:szCs w:val="24"/>
        </w:rPr>
      </w:pPr>
      <w:r>
        <w:rPr>
          <w:color w:val="000000"/>
          <w:sz w:val="24"/>
          <w:szCs w:val="24"/>
        </w:rPr>
        <w:t xml:space="preserve">Literal interpretation of Biblical prophecies leads us to the hope that the Messianic Kingdom will be established on the earth, which leads us further to the millenism which is well known from the early Christian teaching.</w:t>
      </w:r>
    </w:p>
    <w:p>
      <w:pPr>
        <w:pStyle w:val="ListParagraphPHPDOCX"/>
        <w:numPr>
          <w:ilvl w:val="0"/>
          <w:numId w:val="81665116"/>
        </w:numPr>
        <w:spacing w:before="0" w:after="0" w:line="240" w:lineRule="auto"/>
        <w:contextualSpacing/>
        <w:jc w:val="left"/>
        <w:rPr>
          <w:sz w:val="24"/>
          <w:szCs w:val="24"/>
        </w:rPr>
      </w:pPr>
      <w:r>
        <w:rPr>
          <w:color w:val="000000"/>
          <w:sz w:val="24"/>
          <w:szCs w:val="24"/>
        </w:rPr>
        <w:t xml:space="preserve">But Millennial Kingdom does not exist without the restoration of Israel as stated in Old Testament prophecies which are fully in line with St. Paul’s argumentation in letter Rome about the roles of Israel and the Church in God’s plan of salvation.</w:t>
      </w:r>
    </w:p>
    <w:p>
      <w:pPr>
        <w:pStyle w:val="ListParagraphPHPDOCX"/>
        <w:numPr>
          <w:ilvl w:val="0"/>
          <w:numId w:val="81665116"/>
        </w:numPr>
        <w:spacing w:before="0" w:after="0" w:line="240" w:lineRule="auto"/>
        <w:contextualSpacing/>
        <w:jc w:val="left"/>
        <w:rPr>
          <w:sz w:val="24"/>
          <w:szCs w:val="24"/>
        </w:rPr>
      </w:pPr>
      <w:r>
        <w:rPr>
          <w:color w:val="000000"/>
          <w:sz w:val="24"/>
          <w:szCs w:val="24"/>
        </w:rPr>
        <w:t xml:space="preserve">Based on the above points, the final restoration of Israel as a state is inevitable for the completion of salvation.</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modern State of Israel may possesses a salvational significance. Therefore its theological investigation is a very important and actual task of all Christian Churches. If it really indicates the forthcoming parusia, the Church must be prepared for the return of Christ.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665116">
    <w:multiLevelType w:val="hybridMultilevel"/>
    <w:lvl w:ilvl="0" w:tplc="93840271">
      <w:start w:val="1"/>
      <w:numFmt w:val="decimal"/>
      <w:lvlText w:val="%1."/>
      <w:lvlJc w:val="left"/>
      <w:pPr>
        <w:ind w:left="720" w:hanging="360"/>
      </w:pPr>
    </w:lvl>
    <w:lvl w:ilvl="1" w:tplc="93840271" w:tentative="1">
      <w:start w:val="1"/>
      <w:numFmt w:val="lowerLetter"/>
      <w:lvlText w:val="%2."/>
      <w:lvlJc w:val="left"/>
      <w:pPr>
        <w:ind w:left="1440" w:hanging="360"/>
      </w:pPr>
    </w:lvl>
    <w:lvl w:ilvl="2" w:tplc="93840271" w:tentative="1">
      <w:start w:val="1"/>
      <w:numFmt w:val="lowerRoman"/>
      <w:lvlText w:val="%3."/>
      <w:lvlJc w:val="right"/>
      <w:pPr>
        <w:ind w:left="2160" w:hanging="180"/>
      </w:pPr>
    </w:lvl>
    <w:lvl w:ilvl="3" w:tplc="93840271" w:tentative="1">
      <w:start w:val="1"/>
      <w:numFmt w:val="decimal"/>
      <w:lvlText w:val="%4."/>
      <w:lvlJc w:val="left"/>
      <w:pPr>
        <w:ind w:left="2880" w:hanging="360"/>
      </w:pPr>
    </w:lvl>
    <w:lvl w:ilvl="4" w:tplc="93840271" w:tentative="1">
      <w:start w:val="1"/>
      <w:numFmt w:val="lowerLetter"/>
      <w:lvlText w:val="%5."/>
      <w:lvlJc w:val="left"/>
      <w:pPr>
        <w:ind w:left="3600" w:hanging="360"/>
      </w:pPr>
    </w:lvl>
    <w:lvl w:ilvl="5" w:tplc="93840271" w:tentative="1">
      <w:start w:val="1"/>
      <w:numFmt w:val="lowerRoman"/>
      <w:lvlText w:val="%6."/>
      <w:lvlJc w:val="right"/>
      <w:pPr>
        <w:ind w:left="4320" w:hanging="180"/>
      </w:pPr>
    </w:lvl>
    <w:lvl w:ilvl="6" w:tplc="93840271" w:tentative="1">
      <w:start w:val="1"/>
      <w:numFmt w:val="decimal"/>
      <w:lvlText w:val="%7."/>
      <w:lvlJc w:val="left"/>
      <w:pPr>
        <w:ind w:left="5040" w:hanging="360"/>
      </w:pPr>
    </w:lvl>
    <w:lvl w:ilvl="7" w:tplc="93840271" w:tentative="1">
      <w:start w:val="1"/>
      <w:numFmt w:val="lowerLetter"/>
      <w:lvlText w:val="%8."/>
      <w:lvlJc w:val="left"/>
      <w:pPr>
        <w:ind w:left="5760" w:hanging="360"/>
      </w:pPr>
    </w:lvl>
    <w:lvl w:ilvl="8" w:tplc="93840271" w:tentative="1">
      <w:start w:val="1"/>
      <w:numFmt w:val="lowerRoman"/>
      <w:lvlText w:val="%9."/>
      <w:lvlJc w:val="right"/>
      <w:pPr>
        <w:ind w:left="6480" w:hanging="180"/>
      </w:pPr>
    </w:lvl>
  </w:abstractNum>
  <w:abstractNum w:abstractNumId="81665114">
    <w:multiLevelType w:val="hybridMultilevel"/>
    <w:lvl w:ilvl="0" w:tplc="512997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665114">
    <w:abstractNumId w:val="81665114"/>
  </w:num>
  <w:num w:numId="81665116">
    <w:abstractNumId w:val="816651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64590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