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FABACSOVICS LILI</w:t>
            </w:r>
          </w:p>
          <w:p w:rsidR="00C275A3" w:rsidRDefault="00A96AEC" w:rsidP="00C275A3">
            <w:pPr>
              <w:pStyle w:val="Hallgatokepzes"/>
            </w:pPr>
            <w:r>
              <w:t>színházi dramaturg</w:t>
            </w:r>
            <w:r>
              <w:br/>
            </w:r>
            <w:r w:rsidR="00E77B23">
              <w:t>Osztatlan,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Színház- és Filmművészeti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Jákfalvi Magdolna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SZFE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Sirály-formák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Sirály-formák (alcím: Öt Sirály. Részletek a Sirály előadástörténetéből) című munka Csehov Sirályának öt magyarországi kőszínházi előadásával foglalkozik. A dolgozat a színháztörténeti hagyomány alakulását vizsgálja az előadások elemzésén keresztül, s a kiemelt, tradicionálisan a Sirály-értelmezések előterében működő teátrális kereteket használja fel a forma megközelítéséhez. Ilyenek: a díszlet és a tó szerepe az előadásokban; a sirály megjelenési formái; az előadás főszereplő színésze; a karakterek ábrázolása; Trepljov tehetségének megjelenít(het)ése. A dolgozat állítása, hogy ekként tetten érhető a Sirály-kánon alakulása. Az elemzésre kiválasztott öt előadás a következő: 1971-ből Székely Gábor szolnoki és Zsámbéki Gábor kaposvári munkája, 1982-ből Horvai István rendezése, valamint Alföldi Róbert 1997-es és 2013-as előadása. Az öt előadás kiválasztása a legnagyobb színháztörténeti hatással bíró alkotásokra fókuszált, hiszen a jelenidejűségből kilépő művek hatásmechanizmusának működése ekként értelmezhető.</w:t>
      </w:r>
      <w:r>
        <w:rPr>
          <w:color w:val="000000"/>
          <w:sz w:val="24"/>
          <w:szCs w:val="24"/>
        </w:rPr>
        <w:br/>
        <w:t xml:space="preserve">Fontos dramaturgiai szempont, hogy az előadásokon keresztül a dolgozat a lehető legtöbb rendezési koncepcióra találjon példát: két új bemutató egy évadban, egy rendező, aki kétszer is megrendezte a Sirályt, fővárosi előadás, vidéki előadás, fiatal rendező, idősebb rendező munkája. A korpusz kialakításakor döntő szempontnak tételeztük, hogy észlelhető legyen egy kronologikus egyenletesség, ekként vázolva fel egy alaposabb, teljesebb, gazdagabb korpusszal bíró Sirály hagyomány történetet.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229814">
    <w:multiLevelType w:val="hybridMultilevel"/>
    <w:lvl w:ilvl="0" w:tplc="284984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229814">
    <w:abstractNumId w:val="712298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35390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