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HUSZÁR VIKTÓRIA</w:t>
            </w:r>
          </w:p>
          <w:p w:rsidR="00C275A3" w:rsidRDefault="00A96AEC" w:rsidP="00C275A3">
            <w:pPr>
              <w:pStyle w:val="Hallgatokepzes"/>
            </w:pPr>
            <w:r>
              <w:t>Előadóművészet - klasszikus fuvola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KANYAR ADRIENN</w:t>
            </w:r>
          </w:p>
          <w:p w:rsidR="00DB4822" w:rsidRDefault="00C275A3" w:rsidP="004D7940">
            <w:pPr>
              <w:pStyle w:val="Hallgatokepzes"/>
            </w:pPr>
            <w:r>
              <w:t>Előadóművészet - klasszikus zongora</w:t>
            </w:r>
            <w:r w:rsidR="00A96AEC">
              <w:br/>
              <w:t>BA, 3.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Művészeti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Kircsi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ny.egyetemi docens, PTE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Gönczy László</w:t>
            </w:r>
          </w:p>
          <w:p w:rsidR="00DB4822" w:rsidRDefault="00DB4822" w:rsidP="009763E0">
            <w:pPr>
              <w:pStyle w:val="Konzulensektitulus"/>
            </w:pPr>
            <w:r w:rsidRPr="00DB4822">
              <w:t>óraadó,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G.P. Telemann a-moll szvitjének (TWV 55:a2) előadása során felmerülő interpretációs problémák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és előadásunkban Telemann a-moll szvitjének (TWV 55:a2) interpretációs problémáit vizsgáltuk. Először két dolgozatot is készítettünk, külön-külön a fuvola és a zongora szempontjából, majd ezeket összevetve írtuk meg elemzésünket.</w:t>
      </w:r>
      <w:r>
        <w:rPr>
          <w:color w:val="000000"/>
          <w:sz w:val="24"/>
          <w:szCs w:val="24"/>
        </w:rPr>
        <w:br/>
        <w:t xml:space="preserve">Potenciális problémának tekintettük a barokk zenétől való általános idegenkedést, és ennek érdekében igyekeztünk megfogalmazni, mennyire emberi és élvezetes a barokk zenei előadás.</w:t>
      </w:r>
      <w:r>
        <w:rPr>
          <w:color w:val="000000"/>
          <w:sz w:val="24"/>
          <w:szCs w:val="24"/>
        </w:rPr>
        <w:br/>
        <w:t xml:space="preserve">A dolgozat a következőképpen épül fel:</w:t>
      </w:r>
      <w:r>
        <w:rPr>
          <w:color w:val="000000"/>
          <w:sz w:val="24"/>
          <w:szCs w:val="24"/>
        </w:rPr>
        <w:br/>
        <w:t xml:space="preserve">Rövid bevezetésben kívántunk szólni az értékmegőrzésről és ápolásról, illetve hiteles korképet vázolni. Tömör életrajzot közöltünk Telemannról, majd a szvitet részleteztük általánosságában. Itt szólunk továbbá a táncok elterjedésének lehetőségéről, népszerűségéről. A mű egyes tételeit sorra vesszük, először egy általános történeti háttér, majd egy interpretációs ajánlás következik.</w:t>
      </w:r>
      <w:r>
        <w:rPr>
          <w:color w:val="000000"/>
          <w:sz w:val="24"/>
          <w:szCs w:val="24"/>
        </w:rPr>
        <w:br/>
        <w:t xml:space="preserve">Fontosnak tartottunk továbbá a hangszerhasználati-hangszerválasztási problémák kérdését, és ezen belül a hiteles megszólaltatás összeegyeztetését a modern hangszerek kibővült lehetőségeivel.</w:t>
      </w:r>
      <w:r>
        <w:rPr>
          <w:color w:val="000000"/>
          <w:sz w:val="24"/>
          <w:szCs w:val="24"/>
        </w:rPr>
        <w:br/>
        <w:t xml:space="preserve">A barokk zene népszerűsítését, a rossz berögződések elhagyásának segítését missziónknak tekintjük, így dolgozatunkban igyekeztünk minél ösztönzőbben hatni az olvasóra.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205409">
    <w:multiLevelType w:val="hybridMultilevel"/>
    <w:lvl w:ilvl="0" w:tplc="795318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205409">
    <w:abstractNumId w:val="652054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62062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