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HUSZÁR</w:t>
            </w:r>
          </w:p>
          <w:p w:rsidR="00C275A3" w:rsidRDefault="00A96AEC" w:rsidP="00C275A3">
            <w:pPr>
              <w:pStyle w:val="Hallgatokepzes"/>
            </w:pPr>
            <w:r>
              <w:t>classical flute</w:t>
            </w:r>
            <w:r>
              <w:br/>
            </w:r>
            <w:r w:rsidR="00E77B23">
              <w:t>BA, 5. semester</w:t>
            </w:r>
          </w:p>
          <w:p w:rsidR="00C265CE" w:rsidRPr="009E5FF1" w:rsidRDefault="00E77B23" w:rsidP="009763E0">
            <w:pPr>
              <w:pStyle w:val="Hallgatointezmeny-kar"/>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ADRIENN KANYAR</w:t>
            </w:r>
          </w:p>
          <w:p w:rsidR="00DB4822" w:rsidRDefault="00C275A3" w:rsidP="004D7940">
            <w:pPr>
              <w:pStyle w:val="Hallgatokepzes"/>
            </w:pPr>
            <w:r>
              <w:t>classical piano</w:t>
            </w:r>
            <w:r w:rsidR="00A96AEC">
              <w:br/>
              <w:t>BA, 3.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Music and Visual Arts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Kircsi</w:t>
            </w:r>
          </w:p>
          <w:p w:rsidR="00DB4822" w:rsidRDefault="00DB4822" w:rsidP="009763E0">
            <w:pPr>
              <w:pStyle w:val="Konzulensektitulus"/>
            </w:pPr>
            <w:r w:rsidRPr="00DB4822">
              <w:t>associate professor, PTE MK</w:t>
            </w:r>
          </w:p>
        </w:tc>
      </w:tr>
      <w:tr w:rsidR="00DB4822" w:rsidTr="00DB4822">
        <w:tc>
          <w:tcPr>
            <w:tcW w:w="9854" w:type="dxa"/>
          </w:tcPr>
          <w:p w:rsidR="00DB4822" w:rsidRPr="00DB4822" w:rsidRDefault="00DB4822" w:rsidP="009763E0">
            <w:pPr>
              <w:pStyle w:val="Konzulenseknev"/>
            </w:pPr>
            <w:r w:rsidRPr="00DB4822">
              <w:t>Laszló Gönczy</w:t>
            </w:r>
          </w:p>
          <w:p w:rsidR="00DB4822" w:rsidRDefault="00DB4822" w:rsidP="009763E0">
            <w:pPr>
              <w:pStyle w:val="Konzulensektitulus"/>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of Interpretation in G. P. Telemann's Suite in a minor (TWV 55:a2)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essay and following lecture addresses the problems of interpretation in Telemann's Suite in a minor. We began by writing two separate works concerned with the parts of the flute and the accompaniment respectively. Our analysis resulted by synthetizing the conclusions of each.</w:t>
      </w:r>
      <w:r>
        <w:rPr>
          <w:color w:val="000000"/>
          <w:sz w:val="24"/>
          <w:szCs w:val="24"/>
        </w:rPr>
        <w:br/>
        <w:t xml:space="preserve">Reluctance of today's audience towards the music of the Baroque was held as a potential problem, so our aim throughout was to prove how humane and enjoyable playing baroque music was.</w:t>
      </w:r>
      <w:r>
        <w:rPr>
          <w:color w:val="000000"/>
          <w:sz w:val="24"/>
          <w:szCs w:val="24"/>
        </w:rPr>
        <w:br/>
        <w:t xml:space="preserve">Our essay is structured as following:</w:t>
      </w:r>
      <w:r>
        <w:rPr>
          <w:color w:val="000000"/>
          <w:sz w:val="24"/>
          <w:szCs w:val="24"/>
        </w:rPr>
        <w:br/>
        <w:t xml:space="preserve">We begin with a brief introduction concerning preservation of values and also depicting an authentic picture of the historical epoch. A short biography of Telemann is also included. This is followed by a detailed analysis of the suite, with special regard to the popularity of these dance-forms in the 18th century. We discuss the movements separately and give our personal recommendations of interpretation for each.</w:t>
      </w:r>
      <w:r>
        <w:rPr>
          <w:color w:val="000000"/>
          <w:sz w:val="24"/>
          <w:szCs w:val="24"/>
        </w:rPr>
        <w:br/>
        <w:t xml:space="preserve">A special emphasis is placed on the question of the choice of instrument on which the work is performed. We believe that the authenticity of sound and the use of the wider range of possibilities of modern instruments must equally be taken into consideration.</w:t>
      </w:r>
      <w:r>
        <w:rPr>
          <w:color w:val="000000"/>
          <w:sz w:val="24"/>
          <w:szCs w:val="24"/>
        </w:rPr>
        <w:br/>
        <w:t xml:space="preserve">Our general goal is to propagate baroque music, to help reevaluate wrong habits and to give inspiration for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49847">
    <w:multiLevelType w:val="hybridMultilevel"/>
    <w:lvl w:ilvl="0" w:tplc="93644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49847">
    <w:abstractNumId w:val="49249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123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