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MOLNÁR</w:t>
            </w:r>
          </w:p>
          <w:p w:rsidR="00C275A3" w:rsidRDefault="00A96AEC" w:rsidP="00C275A3">
            <w:pPr>
              <w:pStyle w:val="Hallgatokepzes"/>
            </w:pPr>
            <w:r>
              <w:t>classical singing</w:t>
            </w:r>
            <w:r>
              <w:br/>
            </w:r>
            <w:r w:rsidR="00E77B23">
              <w:t>BA,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Kircsi</w:t>
            </w:r>
          </w:p>
          <w:p w:rsidR="00DB4822" w:rsidRDefault="00DB4822" w:rsidP="00E11062">
            <w:pPr>
              <w:pStyle w:val="Konzulensek"/>
            </w:pPr>
            <w:r w:rsidRPr="00DB4822">
              <w:t>ret. 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Federico Garcia Lorca and the spanish folksongs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     It was two years ago when I first met the songs of the Spanish poet, Federico Garcia Lorca. The unique sound, the temperament and passion of Andalusian folk music immediately gripped me. The aim of my paper is the presentation of the colourful works of this author and the complex relations between the folk heritage and the songs performed. In particular, his deep commitment to the Andalusian folk music and the unusual muical sensitiveness, melodies and fantasies of his poetry and drama.</w:t>
      </w:r>
    </w:p>
    <w:p>
      <w:pPr>
        <w:widowControl w:val="on"/>
        <w:pBdr/>
        <w:spacing w:before="240" w:after="240" w:line="240" w:lineRule="auto"/>
        <w:ind w:left="0" w:right="0"/>
        <w:jc w:val="left"/>
      </w:pPr>
      <w:r>
        <w:rPr>
          <w:color w:val="000000"/>
          <w:sz w:val="24"/>
          <w:szCs w:val="24"/>
        </w:rPr>
        <w:br/>
        <w:t xml:space="preserve">     An authentic interpretation of the songs was a challenge for me. Since no written records about these songs have survived, I had to use my ears. While working with the songs, I found that classical singing techniue is important, but the significance of the contents behind the song is strongly supported by one quotation from Lorca's paper, 'Game and Theory': had to tear apart her voice, because she knew experts were listening, who demanded not form but the marrow of form, pure music with a body lean enough to float on air. She had to rob herself of skill and safety: that is to say, banish her Muse, and be helpless, so her duende might come, and deign to struggle with her at close quarters. And how she sang! Her voice no longer at play, her voice a jet of blood, worthy of her pain and her sincerity, opened like a ten-fingered hand as in the feet, nailed there but storm-filled, of a Christ by Juan de Juni.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65890">
    <w:multiLevelType w:val="hybridMultilevel"/>
    <w:lvl w:ilvl="0" w:tplc="78954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65890">
    <w:abstractNumId w:val="409658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51870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