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BIANKA KITTI KŐHEGYI</w:t>
            </w:r>
          </w:p>
          <w:p w:rsidR="00C275A3" w:rsidRDefault="00A96AEC" w:rsidP="00C275A3">
            <w:pPr>
              <w:pStyle w:val="Hallgatokepzes"/>
            </w:pPr>
            <w:r>
              <w:t>Biochemical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Beáta G. Vértessy</w:t>
            </w:r>
          </w:p>
          <w:p w:rsidR="00DB4822" w:rsidRDefault="00DB4822" w:rsidP="00E11062">
            <w:pPr>
              <w:pStyle w:val="Konzulensek"/>
            </w:pPr>
            <w:r w:rsidRPr="00DB4822">
              <w:t>scientific advisor,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Investigations of DNA-protein and protein-protein interactions that regulate the expression of Staphylococcus aureus pathogenicity islands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genetic engineering, Stl repressor protein, molecular switch</w:t>
      </w:r>
      <w:r>
        <w:t xml:space="preserve"/>
      </w:r>
    </w:p>
    <w:p>
      <w:pPr>
        <w:widowControl w:val="on"/>
        <w:pBdr/>
        <w:spacing w:before="240" w:after="240" w:line="240" w:lineRule="auto"/>
        <w:ind w:left="0" w:right="0"/>
        <w:jc w:val="left"/>
      </w:pPr>
      <w:r>
        <w:rPr>
          <w:color w:val="000000"/>
          <w:sz w:val="24"/>
          <w:szCs w:val="24"/>
        </w:rPr>
        <w:t xml:space="preserve">Horizontal gene transfer has an important role in bacterial evolution. Mobile genetic elements constitute a significant part of bacterial genomes. Investigations on Staphylococcus aureus pathogenicity islands (SaPIs) have an important role in understanding how these elements work. SaPIs can carry superantigen genes which cause specific toxin-mediated diseases such as toxic shock syndrome (TSST) and food-poisoning (Staphylococcus enterotoxin B), hence these studies have imminent key biomedical significance.</w:t>
      </w:r>
    </w:p>
    <w:p>
      <w:pPr>
        <w:widowControl w:val="on"/>
        <w:pBdr/>
        <w:spacing w:before="240" w:after="240" w:line="240" w:lineRule="auto"/>
        <w:ind w:left="0" w:right="0"/>
        <w:jc w:val="left"/>
      </w:pPr>
      <w:r>
        <w:rPr>
          <w:color w:val="000000"/>
          <w:sz w:val="24"/>
          <w:szCs w:val="24"/>
        </w:rPr>
        <w:t xml:space="preserve">Structure and function of these genetic elements share numerous characteristics with temperate phages. After the SaPI has been integrated in the host chromosome, a master regulator protein Stl repress the expression from those SaPI genes that are responsible for the SaPI excision and replication. Repression is released to allow SaPI genome excision and replication upon helper phage infection or induction of a resident helper prophages. It has been shown that the mechanism of de-repression requires complex formation of phage dUTPase and the repressor Stl protein. Thereafter SaPI is packaged in a particle composed by helper phage proteins (molecular piracy) and can be transmitted to other bacterial cells [1].</w:t>
      </w:r>
    </w:p>
    <w:p>
      <w:pPr>
        <w:widowControl w:val="on"/>
        <w:pBdr/>
        <w:spacing w:before="240" w:after="240" w:line="240" w:lineRule="auto"/>
        <w:ind w:left="0" w:right="0"/>
        <w:jc w:val="left"/>
      </w:pPr>
      <w:r>
        <w:rPr>
          <w:color w:val="000000"/>
          <w:sz w:val="24"/>
          <w:szCs w:val="24"/>
        </w:rPr>
        <w:t xml:space="preserve">My aim was to investigate the structure and function of the master regulator Stl of one such pathogenicity island at the molecular level to understand its mechanism of action. Although no three-dimensional structure is yet available for Stl, it has been recently reported by our research group that Stl inhibits the derepressor phage-related dUTPase enzyme [2]. During my research we created several mutations in the Stl protein using genetic engineering tools and then we studied these mutants. First, we deleted the predicted DNA binding domain of the protein, and tested the truncated mutant Stl for interaction with DNA and the dUTPase enzyme with several electrophoretic techniques and enzyme activity measurements. We have also designed a specific point mutant and checked its interaction with DNA and dUTPase.</w:t>
      </w:r>
    </w:p>
    <w:p>
      <w:pPr>
        <w:widowControl w:val="on"/>
        <w:pBdr/>
        <w:spacing w:before="240" w:after="240" w:line="240" w:lineRule="auto"/>
        <w:ind w:left="0" w:right="0"/>
        <w:jc w:val="left"/>
      </w:pPr>
      <w:r>
        <w:rPr>
          <w:color w:val="000000"/>
          <w:sz w:val="24"/>
          <w:szCs w:val="24"/>
        </w:rPr>
        <w:t xml:space="preserve">As a result, we identified the DNA-binding domain and we suggested the probable position of a putative helix-turn-helix motif.</w:t>
      </w:r>
    </w:p>
    <w:p>
      <w:pPr>
        <w:widowControl w:val="on"/>
        <w:pBdr/>
        <w:spacing w:before="240" w:after="240" w:line="240" w:lineRule="auto"/>
        <w:ind w:left="0" w:right="0"/>
        <w:jc w:val="left"/>
      </w:pPr>
      <w:r>
        <w:rPr>
          <w:color w:val="000000"/>
          <w:sz w:val="24"/>
          <w:szCs w:val="24"/>
        </w:rPr>
        <w:t xml:space="preserve">References:</w:t>
      </w:r>
      <w:r>
        <w:rPr>
          <w:color w:val="000000"/>
          <w:sz w:val="24"/>
          <w:szCs w:val="24"/>
        </w:rPr>
        <w:br/>
        <w:t xml:space="preserve">[1] R. P. Novick et al. “The phage-related chromosomal islands of Gram-positive bacteria,” Nat. Rev. Microbiol., 2010.</w:t>
      </w:r>
      <w:r>
        <w:rPr>
          <w:color w:val="000000"/>
          <w:sz w:val="24"/>
          <w:szCs w:val="24"/>
        </w:rPr>
        <w:br/>
        <w:t xml:space="preserve">[2] J. E. Szabó et al. “Highly potent dUTPase inhibition by a bacterial repressor protein reveals a novel mechanism for gene expression control,” Nucleic Acids Res., 2014.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181948">
    <w:multiLevelType w:val="hybridMultilevel"/>
    <w:lvl w:ilvl="0" w:tplc="587113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181948">
    <w:abstractNumId w:val="861819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8035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